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10" w:type="dxa"/>
          <w:bottom w:w="0" w:type="dxa"/>
          <w:right w:w="10" w:type="dxa"/>
        </w:tblCellMar>
      </w:tblPr>
      <w:tblGrid>
        <w:gridCol w:w="1"/>
        <w:gridCol w:w="20"/>
        <w:gridCol w:w="20"/>
        <w:gridCol w:w="60"/>
        <w:gridCol w:w="100"/>
        <w:gridCol w:w="2820"/>
        <w:gridCol w:w="380"/>
        <w:gridCol w:w="740"/>
        <w:gridCol w:w="260"/>
        <w:gridCol w:w="1000"/>
        <w:gridCol w:w="1000"/>
        <w:gridCol w:w="1000"/>
        <w:gridCol w:w="2620"/>
        <w:gridCol w:w="220"/>
        <w:gridCol w:w="260"/>
        <w:gridCol w:w="200"/>
        <w:gridCol w:w="1"/>
        <w:gridCol w:w="19"/>
        <w:gridCol w:w="1"/>
        <w:gridCol w:w="19"/>
        <w:gridCol w:w="1"/>
      </w:tblGrid>
      <w:tr>
        <w:tblPrEx>
          <w:tblCellMar>
            <w:top w:w="0" w:type="dxa"/>
            <w:left w:w="10" w:type="dxa"/>
            <w:bottom w:w="0" w:type="dxa"/>
            <w:right w:w="10" w:type="dxa"/>
          </w:tblCellMar>
        </w:tblPrEx>
        <w:trPr>
          <w:gridAfter w:val="4"/>
          <w:trHeight w:val="0" w:hRule="atLeast"/>
        </w:trPr>
        <w:tc>
          <w:p>
            <w:pPr>
              <w:pStyle w:val="4"/>
            </w:pPr>
            <w:bookmarkStart w:id="8" w:name="_GoBack"/>
            <w:bookmarkEnd w:id="8"/>
            <w:bookmarkStart w:id="0" w:name="JR_PAGE_ANCHOR_0_1"/>
            <w:bookmarkEnd w:id="0"/>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兴银理财天天万利宝稳利8号N款净值型理财产品2024年第一季度报告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96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3020" w:hRule="atLeast"/>
        </w:trPr>
        <w:tc>
          <w:p>
            <w:pPr>
              <w:pStyle w:val="4"/>
            </w:pPr>
          </w:p>
        </w:tc>
        <w:tc>
          <w:tcPr>
            <w:gridSpan w:val="15"/>
            <w:tcMar>
              <w:top w:w="0" w:type="dxa"/>
              <w:left w:w="0" w:type="dxa"/>
              <w:bottom w:w="0" w:type="dxa"/>
              <w:right w:w="0" w:type="dxa"/>
            </w:tcMar>
            <w:vAlign w:val="center"/>
          </w:tcPr>
          <w:p>
            <w:pPr>
              <w:spacing w:before="0" w:after="0" w:line="360" w:lineRule="auto"/>
              <w:jc w:val="center"/>
            </w:pPr>
            <w:r>
              <w:rPr>
                <w:rFonts w:ascii="宋体" w:hAnsi="宋体" w:eastAsia="宋体" w:cs="宋体"/>
                <w:b/>
                <w:color w:val="000000"/>
                <w:sz w:val="32"/>
              </w:rPr>
              <w:t>兴银理财天天万利宝稳利8号N款净值型理财产品</w:t>
            </w:r>
            <w:r>
              <w:rPr>
                <w:rFonts w:ascii="宋体" w:hAnsi="宋体" w:eastAsia="宋体" w:cs="宋体"/>
                <w:b/>
                <w:color w:val="000000"/>
                <w:sz w:val="32"/>
              </w:rPr>
              <w:br w:type="textWrapping"/>
            </w:r>
            <w:r>
              <w:rPr>
                <w:rFonts w:ascii="宋体" w:hAnsi="宋体" w:eastAsia="宋体" w:cs="宋体"/>
                <w:b/>
                <w:color w:val="000000"/>
                <w:sz w:val="32"/>
              </w:rPr>
              <w:t>2024年第一季度报告</w:t>
            </w:r>
          </w:p>
        </w:tc>
        <w:tc>
          <w:p>
            <w:pPr>
              <w:pStyle w:val="4"/>
            </w:pPr>
          </w:p>
        </w:tc>
      </w:tr>
      <w:tr>
        <w:tblPrEx>
          <w:tblCellMar>
            <w:top w:w="0" w:type="dxa"/>
            <w:left w:w="10" w:type="dxa"/>
            <w:bottom w:w="0" w:type="dxa"/>
            <w:right w:w="10" w:type="dxa"/>
          </w:tblCellMar>
        </w:tblPrEx>
        <w:trPr>
          <w:gridAfter w:val="4"/>
          <w:trHeight w:val="660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理财产品管理人：兴银理财有限责任公司</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理财产品托管人：兴业银行股份有限公司</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5"/>
          </w:tcPr>
          <w:p>
            <w:pPr>
              <w:pStyle w:val="4"/>
            </w:pPr>
          </w:p>
        </w:tc>
        <w:tc>
          <w:tcPr>
            <w:gridSpan w:val="7"/>
            <w:tcMar>
              <w:top w:w="0" w:type="dxa"/>
              <w:left w:w="0" w:type="dxa"/>
              <w:bottom w:w="0" w:type="dxa"/>
              <w:right w:w="0" w:type="dxa"/>
            </w:tcMar>
            <w:vAlign w:val="center"/>
          </w:tcPr>
          <w:p>
            <w:pPr>
              <w:jc w:val="left"/>
            </w:pPr>
            <w:r>
              <w:rPr>
                <w:rFonts w:ascii="宋体" w:hAnsi="宋体" w:eastAsia="宋体" w:cs="宋体"/>
                <w:color w:val="000000"/>
                <w:sz w:val="24"/>
              </w:rPr>
              <w:t>报告送出日期：2024年4月22日</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2720" w:hRule="exact"/>
        </w:trPr>
        <w:tc>
          <w:p>
            <w:pPr>
              <w:pStyle w:val="4"/>
            </w:pPr>
          </w:p>
        </w:tc>
        <w:tc>
          <w:tcPr>
            <w:gridSpan w:val="5"/>
          </w:tcPr>
          <w:p>
            <w:pPr>
              <w:pStyle w:val="4"/>
            </w:pPr>
          </w:p>
        </w:tc>
        <w:tc>
          <w:p>
            <w:pPr>
              <w:pStyle w:val="4"/>
            </w:pPr>
          </w:p>
        </w:tc>
        <w:tc>
          <w:tcPr>
            <w:gridSpan w:val="3"/>
          </w:tcPr>
          <w:p>
            <w:pPr>
              <w:pStyle w:val="4"/>
            </w:pPr>
          </w:p>
        </w:tc>
        <w:tc>
          <w:tcPr>
            <w:gridSpan w:val="2"/>
          </w:tcPr>
          <w:p>
            <w:pPr>
              <w:pStyle w:val="4"/>
            </w:pP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5"/>
          </w:tcPr>
          <w:p>
            <w:pPr>
              <w:pStyle w:val="4"/>
            </w:pPr>
          </w:p>
        </w:tc>
        <w:tc>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1/</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1" w:name="JR_PAGE_ANCHOR_0_2"/>
            <w:bookmarkEnd w:id="1"/>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兴银理财天天万利宝稳利8号N款净值型理财产品2024年第一季度报告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84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3"/>
          </w:tcPr>
          <w:p>
            <w:pPr>
              <w:pStyle w:val="4"/>
            </w:pPr>
          </w:p>
        </w:tc>
        <w:tc>
          <w:tcPr>
            <w:gridSpan w:val="3"/>
          </w:tcPr>
          <w:p>
            <w:pPr>
              <w:pStyle w:val="4"/>
            </w:pPr>
          </w:p>
        </w:tc>
        <w:tc>
          <w:tcPr>
            <w:gridSpan w:val="2"/>
          </w:tcPr>
          <w:p>
            <w:pPr>
              <w:pStyle w:val="4"/>
            </w:pPr>
          </w:p>
        </w:tc>
        <w:tc>
          <w:tcPr>
            <w:gridSpan w:val="2"/>
            <w:tcMar>
              <w:top w:w="0" w:type="dxa"/>
              <w:left w:w="0" w:type="dxa"/>
              <w:bottom w:w="0" w:type="dxa"/>
              <w:right w:w="0" w:type="dxa"/>
            </w:tcMar>
            <w:vAlign w:val="top"/>
          </w:tcPr>
          <w:p>
            <w:pPr>
              <w:jc w:val="center"/>
            </w:pPr>
            <w:r>
              <w:rPr>
                <w:rFonts w:ascii="宋体" w:hAnsi="宋体" w:eastAsia="宋体" w:cs="宋体"/>
                <w:b/>
                <w:color w:val="000000"/>
                <w:sz w:val="30"/>
              </w:rPr>
              <w:t>目  录</w:t>
            </w: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4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840" w:hRule="atLeast"/>
        </w:trPr>
        <w:tc>
          <w:p>
            <w:pPr>
              <w:pStyle w:val="4"/>
            </w:pPr>
          </w:p>
        </w:tc>
        <w:tc>
          <w:tcPr>
            <w:gridSpan w:val="3"/>
          </w:tcPr>
          <w:p>
            <w:pPr>
              <w:pStyle w:val="4"/>
            </w:pPr>
          </w:p>
        </w:tc>
        <w:tc>
          <w:tcPr>
            <w:gridSpan w:val="11"/>
            <w:tcMar>
              <w:top w:w="0" w:type="dxa"/>
              <w:left w:w="0" w:type="dxa"/>
              <w:bottom w:w="0" w:type="dxa"/>
              <w:right w:w="0" w:type="dxa"/>
            </w:tcMar>
            <w:vAlign w:val="top"/>
          </w:tcPr>
          <w:p>
            <w:pPr>
              <w:spacing w:before="0" w:after="0" w:line="336" w:lineRule="auto"/>
              <w:jc w:val="left"/>
            </w:pPr>
            <w:r>
              <w:rPr>
                <w:rFonts w:ascii="宋体" w:hAnsi="宋体" w:eastAsia="宋体" w:cs="宋体"/>
                <w:color w:val="000000"/>
                <w:sz w:val="21"/>
              </w:rPr>
              <w:t>§ 一. 重要提示</w:t>
            </w:r>
            <w:r>
              <w:rPr>
                <w:rFonts w:ascii="宋体" w:hAnsi="宋体" w:eastAsia="宋体" w:cs="宋体"/>
                <w:color w:val="000000"/>
                <w:sz w:val="21"/>
              </w:rPr>
              <w:br w:type="textWrapping"/>
            </w:r>
            <w:r>
              <w:rPr>
                <w:rFonts w:ascii="宋体" w:hAnsi="宋体" w:eastAsia="宋体" w:cs="宋体"/>
                <w:color w:val="000000"/>
                <w:sz w:val="21"/>
              </w:rPr>
              <w:t>§ 二. 产品基本信息</w:t>
            </w:r>
            <w:r>
              <w:rPr>
                <w:rFonts w:ascii="宋体" w:hAnsi="宋体" w:eastAsia="宋体" w:cs="宋体"/>
                <w:color w:val="000000"/>
                <w:sz w:val="21"/>
              </w:rPr>
              <w:br w:type="textWrapping"/>
            </w:r>
            <w:r>
              <w:rPr>
                <w:rFonts w:ascii="宋体" w:hAnsi="宋体" w:eastAsia="宋体" w:cs="宋体"/>
                <w:color w:val="000000"/>
                <w:sz w:val="21"/>
              </w:rPr>
              <w:t>§ 三. 产品收益表现</w:t>
            </w:r>
            <w:r>
              <w:rPr>
                <w:rFonts w:ascii="宋体" w:hAnsi="宋体" w:eastAsia="宋体" w:cs="宋体"/>
                <w:color w:val="000000"/>
                <w:sz w:val="21"/>
              </w:rPr>
              <w:br w:type="textWrapping"/>
            </w:r>
            <w:r>
              <w:rPr>
                <w:rFonts w:ascii="宋体" w:hAnsi="宋体" w:eastAsia="宋体" w:cs="宋体"/>
                <w:color w:val="000000"/>
                <w:sz w:val="21"/>
              </w:rPr>
              <w:t>§ 四. 产品投资经理简介</w:t>
            </w:r>
            <w:r>
              <w:rPr>
                <w:rFonts w:ascii="宋体" w:hAnsi="宋体" w:eastAsia="宋体" w:cs="宋体"/>
                <w:color w:val="000000"/>
                <w:sz w:val="21"/>
              </w:rPr>
              <w:br w:type="textWrapping"/>
            </w:r>
            <w:r>
              <w:rPr>
                <w:rFonts w:ascii="宋体" w:hAnsi="宋体" w:eastAsia="宋体" w:cs="宋体"/>
                <w:color w:val="000000"/>
                <w:sz w:val="21"/>
              </w:rPr>
              <w:t>§ 五. 报告期内产品投资策略</w:t>
            </w:r>
            <w:r>
              <w:rPr>
                <w:rFonts w:ascii="宋体" w:hAnsi="宋体" w:eastAsia="宋体" w:cs="宋体"/>
                <w:color w:val="000000"/>
                <w:sz w:val="21"/>
              </w:rPr>
              <w:br w:type="textWrapping"/>
            </w:r>
            <w:r>
              <w:rPr>
                <w:rFonts w:ascii="宋体" w:hAnsi="宋体" w:eastAsia="宋体" w:cs="宋体"/>
                <w:color w:val="000000"/>
                <w:sz w:val="21"/>
              </w:rPr>
              <w:t>§ 六. 投资组合情况</w:t>
            </w:r>
            <w:r>
              <w:rPr>
                <w:rFonts w:ascii="宋体" w:hAnsi="宋体" w:eastAsia="宋体" w:cs="宋体"/>
                <w:color w:val="000000"/>
                <w:sz w:val="21"/>
              </w:rPr>
              <w:br w:type="textWrapping"/>
            </w:r>
            <w:r>
              <w:rPr>
                <w:rFonts w:ascii="宋体" w:hAnsi="宋体" w:eastAsia="宋体" w:cs="宋体"/>
                <w:color w:val="000000"/>
                <w:sz w:val="21"/>
              </w:rPr>
              <w:t xml:space="preserve">     1. 报告期末资产组合情况</w:t>
            </w:r>
            <w:r>
              <w:rPr>
                <w:rFonts w:ascii="宋体" w:hAnsi="宋体" w:eastAsia="宋体" w:cs="宋体"/>
                <w:color w:val="000000"/>
                <w:sz w:val="21"/>
              </w:rPr>
              <w:br w:type="textWrapping"/>
            </w:r>
            <w:r>
              <w:rPr>
                <w:rFonts w:ascii="宋体" w:hAnsi="宋体" w:eastAsia="宋体" w:cs="宋体"/>
                <w:color w:val="000000"/>
                <w:sz w:val="21"/>
              </w:rPr>
              <w:t xml:space="preserve">     2. 报告期末杠杆融资情况</w:t>
            </w:r>
            <w:r>
              <w:rPr>
                <w:rFonts w:ascii="宋体" w:hAnsi="宋体" w:eastAsia="宋体" w:cs="宋体"/>
                <w:color w:val="000000"/>
                <w:sz w:val="21"/>
              </w:rPr>
              <w:br w:type="textWrapping"/>
            </w:r>
            <w:r>
              <w:rPr>
                <w:rFonts w:ascii="宋体" w:hAnsi="宋体" w:eastAsia="宋体" w:cs="宋体"/>
                <w:color w:val="000000"/>
                <w:sz w:val="21"/>
              </w:rPr>
              <w:t xml:space="preserve">     3. 投资组合的流动性风险分析</w:t>
            </w:r>
            <w:r>
              <w:rPr>
                <w:rFonts w:ascii="宋体" w:hAnsi="宋体" w:eastAsia="宋体" w:cs="宋体"/>
                <w:color w:val="000000"/>
                <w:sz w:val="21"/>
              </w:rPr>
              <w:br w:type="textWrapping"/>
            </w:r>
            <w:r>
              <w:rPr>
                <w:rFonts w:ascii="宋体" w:hAnsi="宋体" w:eastAsia="宋体" w:cs="宋体"/>
                <w:color w:val="000000"/>
                <w:sz w:val="21"/>
              </w:rPr>
              <w:t xml:space="preserve">     4. 报告期末资产持仓前十基本信息</w:t>
            </w:r>
            <w:r>
              <w:rPr>
                <w:rFonts w:ascii="宋体" w:hAnsi="宋体" w:eastAsia="宋体" w:cs="宋体"/>
                <w:color w:val="000000"/>
                <w:sz w:val="21"/>
              </w:rPr>
              <w:br w:type="textWrapping"/>
            </w:r>
            <w:r>
              <w:rPr>
                <w:rFonts w:ascii="宋体" w:hAnsi="宋体" w:eastAsia="宋体" w:cs="宋体"/>
                <w:color w:val="000000"/>
                <w:sz w:val="21"/>
              </w:rPr>
              <w:t xml:space="preserve">     5. 报告期末持有非标准化债权类资产情况</w:t>
            </w:r>
            <w:r>
              <w:rPr>
                <w:rFonts w:ascii="宋体" w:hAnsi="宋体" w:eastAsia="宋体" w:cs="宋体"/>
                <w:color w:val="000000"/>
                <w:sz w:val="21"/>
              </w:rPr>
              <w:br w:type="textWrapping"/>
            </w:r>
            <w:r>
              <w:rPr>
                <w:rFonts w:ascii="宋体" w:hAnsi="宋体" w:eastAsia="宋体" w:cs="宋体"/>
                <w:color w:val="000000"/>
                <w:sz w:val="21"/>
              </w:rPr>
              <w:t xml:space="preserve">     6. 报告期间关联交易情况</w:t>
            </w:r>
            <w:r>
              <w:rPr>
                <w:rFonts w:ascii="宋体" w:hAnsi="宋体" w:eastAsia="宋体" w:cs="宋体"/>
                <w:color w:val="000000"/>
                <w:sz w:val="21"/>
              </w:rPr>
              <w:br w:type="textWrapping"/>
            </w:r>
            <w:r>
              <w:rPr>
                <w:rFonts w:ascii="宋体" w:hAnsi="宋体" w:eastAsia="宋体" w:cs="宋体"/>
                <w:color w:val="000000"/>
                <w:sz w:val="21"/>
              </w:rPr>
              <w:t xml:space="preserve">     7. 投资账户信息</w:t>
            </w:r>
          </w:p>
        </w:tc>
        <w:tc>
          <w:p>
            <w:pPr>
              <w:pStyle w:val="4"/>
            </w:pPr>
          </w:p>
        </w:tc>
        <w:tc>
          <w:p>
            <w:pPr>
              <w:pStyle w:val="4"/>
            </w:pPr>
          </w:p>
        </w:tc>
      </w:tr>
      <w:tr>
        <w:tblPrEx>
          <w:tblCellMar>
            <w:top w:w="0" w:type="dxa"/>
            <w:left w:w="10" w:type="dxa"/>
            <w:bottom w:w="0" w:type="dxa"/>
            <w:right w:w="10" w:type="dxa"/>
          </w:tblCellMar>
        </w:tblPrEx>
        <w:trPr>
          <w:gridAfter w:val="4"/>
          <w:trHeight w:val="6080" w:hRule="exact"/>
        </w:trPr>
        <w:tc>
          <w:p>
            <w:pPr>
              <w:pStyle w:val="4"/>
            </w:pPr>
          </w:p>
        </w:tc>
        <w:tc>
          <w:tcPr>
            <w:gridSpan w:val="3"/>
          </w:tcPr>
          <w:p>
            <w:pPr>
              <w:pStyle w:val="4"/>
            </w:pPr>
          </w:p>
        </w:tc>
        <w:tc>
          <w:tcPr>
            <w:gridSpan w:val="3"/>
          </w:tcPr>
          <w:p>
            <w:pPr>
              <w:pStyle w:val="4"/>
            </w:pPr>
          </w:p>
        </w:tc>
        <w:tc>
          <w:tcPr>
            <w:gridSpan w:val="2"/>
          </w:tcPr>
          <w:p>
            <w:pPr>
              <w:pStyle w:val="4"/>
            </w:pPr>
          </w:p>
        </w:tc>
        <w:tc>
          <w:p>
            <w:pPr>
              <w:pStyle w:val="4"/>
            </w:pPr>
          </w:p>
        </w:tc>
        <w:tc>
          <w:p>
            <w:pPr>
              <w:pStyle w:val="4"/>
            </w:pPr>
          </w:p>
        </w:tc>
        <w:tc>
          <w:p>
            <w:pPr>
              <w:pStyle w:val="4"/>
            </w:pP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3"/>
          </w:tcPr>
          <w:p>
            <w:pPr>
              <w:pStyle w:val="4"/>
            </w:pPr>
          </w:p>
        </w:tc>
        <w:tc>
          <w:tcPr>
            <w:gridSpan w:val="3"/>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2/</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3"/>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2" w:name="JR_PAGE_ANCHOR_0_3"/>
            <w:bookmarkEnd w:id="2"/>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兴银理财天天万利宝稳利8号N款净值型理财产品2024年第一季度报告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6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一. 重要提示</w:t>
            </w: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3080" w:hRule="atLeast"/>
        </w:trPr>
        <w:tc>
          <w:p>
            <w:pPr>
              <w:pStyle w:val="4"/>
            </w:pPr>
          </w:p>
        </w:tc>
        <w:tc>
          <w:tcPr>
            <w:gridSpan w:val="15"/>
            <w:tcBorders>
              <w:top w:val="dotted" w:color="000000" w:sz="8" w:space="0"/>
              <w:left w:val="dotted" w:color="000000" w:sz="8" w:space="0"/>
              <w:bottom w:val="dotted" w:color="000000" w:sz="8" w:space="0"/>
              <w:right w:val="dotted" w:color="000000" w:sz="8" w:space="0"/>
            </w:tcBorders>
            <w:tcMar>
              <w:top w:w="0" w:type="dxa"/>
              <w:left w:w="0" w:type="dxa"/>
              <w:bottom w:w="0" w:type="dxa"/>
              <w:right w:w="0" w:type="dxa"/>
            </w:tcMar>
            <w:vAlign w:val="top"/>
          </w:tcPr>
          <w:p>
            <w:pPr>
              <w:spacing w:before="0" w:after="0" w:line="360" w:lineRule="auto"/>
              <w:jc w:val="left"/>
            </w:pPr>
            <w:r>
              <w:rPr>
                <w:rFonts w:ascii="仿宋" w:hAnsi="仿宋" w:eastAsia="仿宋" w:cs="仿宋"/>
                <w:color w:val="000000"/>
                <w:sz w:val="21"/>
              </w:rPr>
              <w:br w:type="textWrapping"/>
            </w:r>
            <w:r>
              <w:rPr>
                <w:rFonts w:ascii="仿宋" w:hAnsi="仿宋" w:eastAsia="仿宋" w:cs="仿宋"/>
                <w:color w:val="000000"/>
                <w:sz w:val="21"/>
              </w:rPr>
              <w:t xml:space="preserve"> 1. 温馨提醒：理财非存款，产品有风险，投资需谨慎！</w:t>
            </w:r>
            <w:r>
              <w:rPr>
                <w:rFonts w:ascii="仿宋" w:hAnsi="仿宋" w:eastAsia="仿宋" w:cs="仿宋"/>
                <w:color w:val="000000"/>
                <w:sz w:val="21"/>
              </w:rPr>
              <w:br w:type="textWrapping"/>
            </w:r>
            <w:r>
              <w:rPr>
                <w:rFonts w:ascii="仿宋" w:hAnsi="仿宋" w:eastAsia="仿宋" w:cs="仿宋"/>
                <w:color w:val="000000"/>
                <w:sz w:val="21"/>
              </w:rPr>
              <w:t xml:space="preserve"> 2. 理财信息可供参考，详情请咨询理财经理，或在“中国理财网（www.chinawealth.com.cn）”查询该产品相关信息。</w:t>
            </w:r>
            <w:r>
              <w:rPr>
                <w:rFonts w:ascii="仿宋" w:hAnsi="仿宋" w:eastAsia="仿宋" w:cs="仿宋"/>
                <w:color w:val="000000"/>
                <w:sz w:val="21"/>
              </w:rPr>
              <w:br w:type="textWrapping"/>
            </w:r>
            <w:r>
              <w:rPr>
                <w:rFonts w:ascii="仿宋" w:hAnsi="仿宋" w:eastAsia="仿宋" w:cs="仿宋"/>
                <w:color w:val="000000"/>
                <w:sz w:val="21"/>
              </w:rPr>
              <w:t xml:space="preserve"> 3. 兴银理财有限责任公司保留对所有文字说明的最终解释权。</w:t>
            </w:r>
            <w:r>
              <w:rPr>
                <w:rFonts w:ascii="仿宋" w:hAnsi="仿宋" w:eastAsia="仿宋" w:cs="仿宋"/>
                <w:color w:val="000000"/>
                <w:sz w:val="21"/>
              </w:rPr>
              <w:br w:type="textWrapping"/>
            </w:r>
          </w:p>
        </w:tc>
        <w:tc>
          <w:p>
            <w:pPr>
              <w:pStyle w:val="4"/>
            </w:pPr>
          </w:p>
        </w:tc>
      </w:tr>
      <w:tr>
        <w:tblPrEx>
          <w:tblCellMar>
            <w:top w:w="0" w:type="dxa"/>
            <w:left w:w="10" w:type="dxa"/>
            <w:bottom w:w="0" w:type="dxa"/>
            <w:right w:w="10" w:type="dxa"/>
          </w:tblCellMar>
        </w:tblPrEx>
        <w:trPr>
          <w:gridAfter w:val="4"/>
          <w:trHeight w:val="6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二. 产品基本情况</w:t>
            </w: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产品名称</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兴银理财天天万利宝稳利8号N款净值型理财产品</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产品代码</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9K209640</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全国银行业理财信息登记系统登记编码</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Z7002021000215</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产品运作方式</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开放式</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产品募集方式</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公募</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投资类型</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固定收益类</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报告期末产品份额总额</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195,565,609.32份</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投资币种</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人民币</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风险等级</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R2</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产品管理人</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兴银理财有限责任公司</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产品托管人</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4"/>
          <w:trHeight w:val="940" w:hRule="atLeast"/>
        </w:trPr>
        <w:tc>
          <w:p>
            <w:pPr>
              <w:pStyle w:val="4"/>
            </w:pPr>
          </w:p>
        </w:tc>
        <w:tc>
          <w:tcPr>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业绩比较基准¹/业绩报酬计提基准</w:t>
            </w: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9K20964A：2.55%--3.85%/3.20%</w:t>
            </w:r>
            <w:r>
              <w:rPr>
                <w:rFonts w:ascii="宋体" w:hAnsi="宋体" w:eastAsia="宋体" w:cs="宋体"/>
                <w:color w:val="000000"/>
                <w:sz w:val="21"/>
              </w:rPr>
              <w:br w:type="textWrapping"/>
            </w:r>
            <w:r>
              <w:rPr>
                <w:rFonts w:ascii="宋体" w:hAnsi="宋体" w:eastAsia="宋体" w:cs="宋体"/>
                <w:color w:val="000000"/>
                <w:sz w:val="21"/>
              </w:rPr>
              <w:t xml:space="preserve">  9K20964B：2.60%--3.90%/3.25%</w:t>
            </w:r>
            <w:r>
              <w:rPr>
                <w:rFonts w:ascii="宋体" w:hAnsi="宋体" w:eastAsia="宋体" w:cs="宋体"/>
                <w:color w:val="000000"/>
                <w:sz w:val="21"/>
              </w:rPr>
              <w:br w:type="textWrapping"/>
            </w:r>
            <w:r>
              <w:rPr>
                <w:rFonts w:ascii="宋体" w:hAnsi="宋体" w:eastAsia="宋体" w:cs="宋体"/>
                <w:color w:val="000000"/>
                <w:sz w:val="21"/>
              </w:rPr>
              <w:t xml:space="preserve">  9K20964C：2.45%--3.75%/3.10%</w:t>
            </w:r>
            <w:r>
              <w:rPr>
                <w:rFonts w:ascii="宋体" w:hAnsi="宋体" w:eastAsia="宋体" w:cs="宋体"/>
                <w:color w:val="000000"/>
                <w:sz w:val="21"/>
              </w:rPr>
              <w:br w:type="textWrapping"/>
            </w:r>
            <w:r>
              <w:rPr>
                <w:rFonts w:ascii="宋体" w:hAnsi="宋体" w:eastAsia="宋体" w:cs="宋体"/>
                <w:color w:val="000000"/>
                <w:sz w:val="21"/>
              </w:rPr>
              <w:t xml:space="preserve">  9K20964D：2.55%--3.85%/3.20%</w:t>
            </w:r>
          </w:p>
        </w:tc>
        <w:tc>
          <w:p>
            <w:pPr>
              <w:pStyle w:val="4"/>
            </w:pPr>
          </w:p>
        </w:tc>
      </w:tr>
      <w:tr>
        <w:tblPrEx>
          <w:tblCellMar>
            <w:top w:w="0" w:type="dxa"/>
            <w:left w:w="10" w:type="dxa"/>
            <w:bottom w:w="0" w:type="dxa"/>
            <w:right w:w="10" w:type="dxa"/>
          </w:tblCellMar>
        </w:tblPrEx>
        <w:trPr>
          <w:gridAfter w:val="4"/>
          <w:trHeight w:val="2225" w:hRule="exact"/>
        </w:trPr>
        <w:tc>
          <w:p>
            <w:pPr>
              <w:pStyle w:val="4"/>
            </w:pPr>
          </w:p>
        </w:tc>
        <w:tc>
          <w:tcPr>
            <w:gridSpan w:val="6"/>
          </w:tcPr>
          <w:p>
            <w:pPr>
              <w:pStyle w:val="4"/>
            </w:pPr>
          </w:p>
        </w:tc>
        <w:tc>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6"/>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3/</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3" w:name="JR_PAGE_ANCHOR_0_4"/>
            <w:bookmarkEnd w:id="3"/>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兴银理财天天万利宝稳利8号N款净值型理财产品2024年第一季度报告</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3000" w:hRule="exact"/>
        </w:trPr>
        <w:tc>
          <w:p>
            <w:pPr>
              <w:pStyle w:val="4"/>
            </w:pPr>
          </w:p>
        </w:tc>
        <w:tc>
          <w:p>
            <w:pPr>
              <w:pStyle w:val="4"/>
            </w:pPr>
          </w:p>
        </w:tc>
        <w:tc>
          <w:tcPr>
            <w:gridSpan w:val="16"/>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gridCol w:w="3600"/>
              <w:gridCol w:w="4100"/>
            </w:tblGrid>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2980"/>
                    <w:gridCol w:w="2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下属子份额的销售名称</w:t>
                        </w:r>
                      </w:p>
                    </w:tc>
                    <w:tc>
                      <w:p>
                        <w:pPr>
                          <w:pStyle w:val="4"/>
                        </w:pPr>
                      </w:p>
                    </w:tc>
                  </w:tr>
                </w:tbl>
                <w:p>
                  <w:pPr>
                    <w:pStyle w:val="4"/>
                  </w:pPr>
                </w:p>
              </w:tc>
              <w:tc>
                <w:tcPr>
                  <w:tcBorders>
                    <w:top w:val="single" w:color="000000" w:sz="2" w:space="0"/>
                    <w:left w:val="single" w:color="000000" w:sz="2" w:space="0"/>
                    <w:bottom w:val="single" w:color="000000" w:sz="2" w:space="0"/>
                    <w:right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下属子份额的销售代码</w:t>
                        </w:r>
                      </w:p>
                    </w:tc>
                  </w:tr>
                </w:tbl>
                <w:p>
                  <w:pPr>
                    <w:pStyle w:val="4"/>
                  </w:pPr>
                </w:p>
              </w:tc>
              <w:tc>
                <w:tcPr>
                  <w:tcBorders>
                    <w:top w:val="single" w:color="000000" w:sz="2" w:space="0"/>
                    <w:left w:val="single" w:color="000000" w:sz="2" w:space="0"/>
                    <w:bottom w:val="single" w:color="000000" w:sz="2"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80" w:hRule="atLeast"/>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报告期末下属子份额的产品份额总数</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稳利恒盈8号N款 9个月A</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9K20964A</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103,256,594.56</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稳利恒盈8号N款 9个月B</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9K20964B</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88,695,457.79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稳利恒盈8号N款 9个月C</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9K20964C</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1,866,815.20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稳利恒盈8号N款 9个月D</w:t>
                        </w:r>
                      </w:p>
                    </w:tc>
                  </w:tr>
                </w:tbl>
                <w:p>
                  <w:pPr>
                    <w:pStyle w:val="4"/>
                  </w:pPr>
                </w:p>
              </w:tc>
              <w:tc>
                <w:tcPr>
                  <w:tcBorders>
                    <w:top w:val="single" w:color="000000" w:sz="2" w:space="0"/>
                    <w:left w:val="single" w:color="000000" w:sz="2" w:space="0"/>
                    <w:bottom w:val="single" w:color="000000" w:sz="2" w:space="0"/>
                    <w:right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9K20964D</w:t>
                        </w:r>
                      </w:p>
                    </w:tc>
                  </w:tr>
                </w:tbl>
                <w:p>
                  <w:pPr>
                    <w:pStyle w:val="4"/>
                  </w:pPr>
                </w:p>
              </w:tc>
              <w:tc>
                <w:tcPr>
                  <w:tcBorders>
                    <w:top w:val="single" w:color="000000" w:sz="2" w:space="0"/>
                    <w:left w:val="single" w:color="000000" w:sz="2" w:space="0"/>
                    <w:bottom w:val="single" w:color="000000" w:sz="2" w:space="0"/>
                  </w:tcBorders>
                  <w:shd w:val="clear" w:color="auto" w:fill="FFFFFF"/>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4100"/>
                  </w:tblGrid>
                  <w:tr>
                    <w:tblPrEx>
                      <w:tblCellMar>
                        <w:top w:w="0" w:type="dxa"/>
                        <w:left w:w="10" w:type="dxa"/>
                        <w:bottom w:w="0" w:type="dxa"/>
                        <w:right w:w="10" w:type="dxa"/>
                      </w:tblCellMar>
                    </w:tblPrEx>
                    <w:trPr>
                      <w:trHeight w:val="560" w:hRule="atLeast"/>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1,746,741.77</w:t>
                        </w:r>
                      </w:p>
                    </w:tc>
                  </w:tr>
                </w:tbl>
                <w:p>
                  <w:pPr>
                    <w:pStyle w:val="4"/>
                  </w:pPr>
                </w:p>
              </w:tc>
            </w:tr>
          </w:tbl>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p>
            <w:pPr>
              <w:pStyle w:val="4"/>
            </w:pPr>
          </w:p>
        </w:tc>
        <w:tc>
          <w:tcPr>
            <w:gridSpan w:val="16"/>
            <w:tcMar>
              <w:top w:w="0" w:type="dxa"/>
              <w:left w:w="0" w:type="dxa"/>
              <w:bottom w:w="0" w:type="dxa"/>
              <w:right w:w="0" w:type="dxa"/>
            </w:tcMar>
            <w:vAlign w:val="top"/>
          </w:tcPr>
          <w:p>
            <w:r>
              <w:rPr>
                <w:rFonts w:ascii="宋体" w:hAnsi="宋体" w:eastAsia="宋体" w:cs="宋体"/>
                <w:color w:val="000000"/>
                <w:sz w:val="16"/>
              </w:rPr>
              <w:t>注:本产品的业绩比较基准或业绩报酬计提基准等类似表述不是预期收益率，不代表产品的未来表现和实际收益，不构成对产品收益的承诺，仅供投资者进行投资决定时参考。</w:t>
            </w:r>
          </w:p>
        </w:tc>
        <w:tc>
          <w:tcPr>
            <w:gridSpan w:val="2"/>
          </w:tcPr>
          <w:p>
            <w:pPr>
              <w:pStyle w:val="4"/>
            </w:pPr>
          </w:p>
        </w:tc>
        <w:tc>
          <w:p>
            <w:pPr>
              <w:pStyle w:val="4"/>
            </w:pPr>
          </w:p>
        </w:tc>
      </w:tr>
      <w:tr>
        <w:tblPrEx>
          <w:tblCellMar>
            <w:top w:w="0" w:type="dxa"/>
            <w:left w:w="10" w:type="dxa"/>
            <w:bottom w:w="0" w:type="dxa"/>
            <w:right w:w="10" w:type="dxa"/>
          </w:tblCellMar>
        </w:tblPrEx>
        <w:trPr>
          <w:trHeight w:val="8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三. 产品收益表现</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560" w:hRule="atLeast"/>
        </w:trPr>
        <w:tc>
          <w:p>
            <w:pPr>
              <w:pStyle w:val="4"/>
            </w:pPr>
          </w:p>
        </w:tc>
        <w:tc>
          <w:p>
            <w:pPr>
              <w:pStyle w:val="4"/>
            </w:pPr>
          </w:p>
        </w:tc>
        <w:tc>
          <w:p>
            <w:pPr>
              <w:pStyle w:val="4"/>
            </w:pPr>
          </w:p>
        </w:tc>
        <w:tc>
          <w:tcPr>
            <w:gridSpan w:val="11"/>
            <w:tcMar>
              <w:top w:w="0" w:type="dxa"/>
              <w:left w:w="0" w:type="dxa"/>
              <w:bottom w:w="0" w:type="dxa"/>
              <w:right w:w="0" w:type="dxa"/>
            </w:tcMar>
            <w:vAlign w:val="center"/>
          </w:tcPr>
          <w:p>
            <w:pPr>
              <w:spacing w:before="0" w:after="0" w:line="320" w:lineRule="exact"/>
              <w:ind w:firstLine="0"/>
              <w:jc w:val="left"/>
            </w:pPr>
            <w:r>
              <w:rPr>
                <w:rFonts w:ascii="宋体" w:hAnsi="宋体" w:eastAsia="宋体" w:cs="宋体"/>
                <w:color w:val="000000"/>
                <w:sz w:val="21"/>
              </w:rPr>
              <w:t>产品9K20964A自成立日以来，累计净值增长率为4.8980%，年化累计净值增长率为2.7890%。</w:t>
            </w:r>
            <w:r>
              <w:rPr>
                <w:rFonts w:ascii="宋体" w:hAnsi="宋体" w:eastAsia="宋体" w:cs="宋体"/>
                <w:color w:val="000000"/>
                <w:sz w:val="21"/>
              </w:rPr>
              <w:br w:type="textWrapping"/>
            </w:r>
            <w:r>
              <w:rPr>
                <w:rFonts w:ascii="宋体" w:hAnsi="宋体" w:eastAsia="宋体" w:cs="宋体"/>
                <w:color w:val="000000"/>
                <w:sz w:val="21"/>
              </w:rPr>
              <w:t>产品9K20964B自成立日以来，累计净值增长率为4.9950%，年化累计净值增长率为2.8443%。</w:t>
            </w:r>
            <w:r>
              <w:rPr>
                <w:rFonts w:ascii="宋体" w:hAnsi="宋体" w:eastAsia="宋体" w:cs="宋体"/>
                <w:color w:val="000000"/>
                <w:sz w:val="21"/>
              </w:rPr>
              <w:br w:type="textWrapping"/>
            </w:r>
            <w:r>
              <w:rPr>
                <w:rFonts w:ascii="宋体" w:hAnsi="宋体" w:eastAsia="宋体" w:cs="宋体"/>
                <w:color w:val="000000"/>
                <w:sz w:val="21"/>
              </w:rPr>
              <w:t>产品9K20964C自成立日以来，累计净值增长率为4.6530%，年化累计净值增长率为2.6537%。</w:t>
            </w:r>
            <w:r>
              <w:rPr>
                <w:rFonts w:ascii="宋体" w:hAnsi="宋体" w:eastAsia="宋体" w:cs="宋体"/>
                <w:color w:val="000000"/>
                <w:sz w:val="21"/>
              </w:rPr>
              <w:br w:type="textWrapping"/>
            </w:r>
            <w:r>
              <w:rPr>
                <w:rFonts w:ascii="宋体" w:hAnsi="宋体" w:eastAsia="宋体" w:cs="宋体"/>
                <w:color w:val="000000"/>
                <w:sz w:val="21"/>
              </w:rPr>
              <w:t>产品9K20964D自成立日以来，累计净值增长率为3.6530%，年化累计净值增长率为3.5556%。</w:t>
            </w:r>
            <w:r>
              <w:rPr>
                <w:rFonts w:ascii="宋体" w:hAnsi="宋体" w:eastAsia="宋体" w:cs="宋体"/>
                <w:color w:val="000000"/>
                <w:sz w:val="21"/>
              </w:rPr>
              <w:br w:type="textWrapping"/>
            </w:r>
            <w:r>
              <w:rPr>
                <w:rFonts w:ascii="宋体" w:hAnsi="宋体" w:eastAsia="宋体" w:cs="宋体"/>
                <w:color w:val="000000"/>
                <w:sz w:val="21"/>
              </w:rPr>
              <w:t>报告期末，产品净值表现具体如下：</w:t>
            </w: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200" w:hRule="exact"/>
        </w:trPr>
        <w:tc>
          <w:p>
            <w:pPr>
              <w:pStyle w:val="4"/>
            </w:pPr>
          </w:p>
        </w:tc>
        <w:tc>
          <w:p>
            <w:pPr>
              <w:pStyle w:val="4"/>
            </w:pPr>
          </w:p>
        </w:tc>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2000"/>
              <w:gridCol w:w="2400"/>
              <w:gridCol w:w="2200"/>
              <w:gridCol w:w="23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估值日期</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产品份额净值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产品累计净值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产品资产净值</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9K209640</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1.01333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1.04943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198,172,708.18</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3000" w:hRule="exact"/>
        </w:trPr>
        <w:tc>
          <w:p>
            <w:pPr>
              <w:pStyle w:val="4"/>
            </w:pPr>
          </w:p>
        </w:tc>
        <w:tc>
          <w:p>
            <w:pPr>
              <w:pStyle w:val="4"/>
            </w:pPr>
          </w:p>
        </w:tc>
        <w:tc>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2000"/>
              <w:gridCol w:w="2400"/>
              <w:gridCol w:w="2200"/>
              <w:gridCol w:w="23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销售代码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估值日期</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产品份额净值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产品累计净值</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产品资产净值</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9K20964A</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1.01326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1.04898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104,625,942.69</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9K20964B</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1.01343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1.04995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89,886,368.96</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9K20964C</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1.01290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1.04653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1,890,888.15</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9K20964D</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2024年3月31日</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4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1.01303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1.03653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3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1,769,508.38</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56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四. 产品投资经理简介</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86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陶雪颖女士，上海财经大学数量经济学硕士，上海财经大学经济学学士，7年公募基金和银行债券投资交易经验，曾任长信基金债券交易员。2019年加入兴银理财，现任固定收益投资部投资经理。投资交易经验丰富，对流动</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p>
            <w:pPr>
              <w:pStyle w:val="4"/>
            </w:pPr>
          </w:p>
        </w:tc>
        <w:tc>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4/</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2"/>
          </w:tcPr>
          <w:p>
            <w:pPr>
              <w:pStyle w:val="4"/>
            </w:pPr>
          </w:p>
        </w:tc>
        <w:tc>
          <w:tcPr>
            <w:gridSpan w:val="2"/>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0" w:hRule="atLeast"/>
        </w:trPr>
        <w:tc>
          <w:p>
            <w:pPr>
              <w:pStyle w:val="4"/>
              <w:pageBreakBefore/>
            </w:pPr>
            <w:bookmarkStart w:id="4" w:name="JR_PAGE_ANCHOR_0_5"/>
            <w:bookmarkEnd w:id="4"/>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兴银理财天天万利宝稳利8号N款净值型理财产品2024年第一季度报告</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58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性边际变化感知敏锐，擅长结合基本面研判，通过利率和信用债波段操作获得超额收益，信用风险管控能力强，历史业绩优异，投资风格稳健。</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7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五. 报告期内产品的投资策略和运作分析</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2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860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一、2024年一季度投资策略与运作回顾</w:t>
            </w:r>
            <w:r>
              <w:rPr>
                <w:rFonts w:ascii="宋体" w:hAnsi="宋体" w:eastAsia="宋体" w:cs="宋体"/>
                <w:color w:val="000000"/>
                <w:sz w:val="21"/>
              </w:rPr>
              <w:br w:type="textWrapping"/>
            </w:r>
            <w:r>
              <w:rPr>
                <w:rFonts w:ascii="宋体" w:hAnsi="宋体" w:eastAsia="宋体" w:cs="宋体"/>
                <w:color w:val="000000"/>
                <w:sz w:val="21"/>
              </w:rPr>
              <w:t xml:space="preserve">    2024年一季度债券市场牛市行情快速演绎后进入震荡，市场大致分为三个阶段：1） 年初在降准降息预期下债市做多情绪高涨收益率快速下行，1月24日央行宣布降准，债市进一步下行，利率曲线牛平；2）春节前后中央汇金公告“扩大ETF增持范围，坚决维护资本市场平稳运行”，权益市场回暖上行，债市略有回调，但随着LPR超预期调降25BP，十年国债收益率向下突破2.3%，三年国债收益率向下突破2.5%；3）3月中上旬央行连续低量投放OMO引发市场对于防止资金空转的担忧，叠加止盈情绪升温，债市大幅回调，随着央行表示“法定存款准备金仍有下降空间”以及超长期国债供给方式等消息面扰动，以及基本面数据仍有待修复等因素下，债市趋于震荡。</w:t>
            </w:r>
            <w:r>
              <w:rPr>
                <w:rFonts w:ascii="宋体" w:hAnsi="宋体" w:eastAsia="宋体" w:cs="宋体"/>
                <w:color w:val="000000"/>
                <w:sz w:val="21"/>
              </w:rPr>
              <w:br w:type="textWrapping"/>
            </w:r>
            <w:r>
              <w:rPr>
                <w:rFonts w:ascii="宋体" w:hAnsi="宋体" w:eastAsia="宋体" w:cs="宋体"/>
                <w:color w:val="000000"/>
                <w:sz w:val="21"/>
              </w:rPr>
              <w:t xml:space="preserve">    收益率方面，一季度整体1年NCD、1年国债、10年国债、中短期票据3年AAA、3年AA+、3年AA分别较2023年年末下行17bp、36bp、27bp、21bp、21bp、35bp；信用利差方面3年AAA、3年AA+、3年AA较2023年年末分别收窄4bp、4bp、18bp。</w:t>
            </w:r>
            <w:r>
              <w:rPr>
                <w:rFonts w:ascii="宋体" w:hAnsi="宋体" w:eastAsia="宋体" w:cs="宋体"/>
                <w:color w:val="000000"/>
                <w:sz w:val="21"/>
              </w:rPr>
              <w:br w:type="textWrapping"/>
            </w:r>
            <w:r>
              <w:rPr>
                <w:rFonts w:ascii="宋体" w:hAnsi="宋体" w:eastAsia="宋体" w:cs="宋体"/>
                <w:color w:val="000000"/>
                <w:sz w:val="21"/>
              </w:rPr>
              <w:t xml:space="preserve">    从基本面看，今年1-2月的经济数据和3月PMI均超出预期，指向一季度GDP增速或有上修空间；但当前有效需求不足、价格处于低位、地产供需偏弱、消费仍待改善的问题仍存，稳经济、稳预期仍是政策主要诉求。</w:t>
            </w:r>
            <w:r>
              <w:rPr>
                <w:rFonts w:ascii="宋体" w:hAnsi="宋体" w:eastAsia="宋体" w:cs="宋体"/>
                <w:color w:val="000000"/>
                <w:sz w:val="21"/>
              </w:rPr>
              <w:br w:type="textWrapping"/>
            </w:r>
            <w:r>
              <w:rPr>
                <w:rFonts w:ascii="宋体" w:hAnsi="宋体" w:eastAsia="宋体" w:cs="宋体"/>
                <w:color w:val="000000"/>
                <w:sz w:val="21"/>
              </w:rPr>
              <w:t xml:space="preserve">    产品运作上，1月在降准降息预期下适当提升产品久期，采取久期+杠杆+票息策略；2月春节后数据真空期票息策略为主，随着LPR超预期调降，产品积极配置高流动资产；3月在资金边际收紧、止盈情绪升温的背景下，整体采取防守策略，保证产品流动性为主。整体看，票息资产仍是理财产品收益的重要来源，久期是增强产品收益的关键，产品的主要策略是择高票息优质资产进行配置，逢高灵活运用高流动久期资产增强产品收益。</w:t>
            </w:r>
            <w:r>
              <w:rPr>
                <w:rFonts w:ascii="宋体" w:hAnsi="宋体" w:eastAsia="宋体" w:cs="宋体"/>
                <w:color w:val="000000"/>
                <w:sz w:val="21"/>
              </w:rPr>
              <w:br w:type="textWrapping"/>
            </w:r>
            <w:r>
              <w:rPr>
                <w:rFonts w:ascii="宋体" w:hAnsi="宋体" w:eastAsia="宋体" w:cs="宋体"/>
                <w:color w:val="000000"/>
                <w:sz w:val="21"/>
              </w:rPr>
              <w:t>二、2024二季度投资策略展望</w:t>
            </w:r>
            <w:r>
              <w:rPr>
                <w:rFonts w:ascii="宋体" w:hAnsi="宋体" w:eastAsia="宋体" w:cs="宋体"/>
                <w:color w:val="000000"/>
                <w:sz w:val="21"/>
              </w:rPr>
              <w:br w:type="textWrapping"/>
            </w:r>
            <w:r>
              <w:rPr>
                <w:rFonts w:ascii="宋体" w:hAnsi="宋体" w:eastAsia="宋体" w:cs="宋体"/>
                <w:color w:val="000000"/>
                <w:sz w:val="21"/>
              </w:rPr>
              <w:t xml:space="preserve">    二季度债市仍有机会。货币政策方面，中央强调社融M2同经济增长和价格水平预期目标相匹配，预计二季度社融和M2以稳为主；另一方面，二季度政府债供给回升相对确定，超长特别国债应声发行之下，央行多次表示有降准空间，预计二季度降准概率较高；财政政策方面，今年安排了1万亿元超长期特别国债、7000亿元的中央预算内投资以及3.9万亿元地方政府专项债券，稳增长政策积极推进，需重点关注国债和地方政府债发行节奏；资金面方面，预计整体将继续维持平稳，但资金价格进一步下行有限，或受债券供给影响波动加大。考虑到目前资产荒问题显著以及地产持续疲弱，债市维持在低位运行，趋势反转在短期内尚难发生，但止盈交易或易触发，利率回调或是再度入场的机会。整体上预计二季度债市震荡偏强。</w:t>
            </w:r>
            <w:r>
              <w:rPr>
                <w:rFonts w:ascii="宋体" w:hAnsi="宋体" w:eastAsia="宋体" w:cs="宋体"/>
                <w:color w:val="000000"/>
                <w:sz w:val="21"/>
              </w:rPr>
              <w:br w:type="textWrapping"/>
            </w:r>
            <w:r>
              <w:rPr>
                <w:rFonts w:ascii="宋体" w:hAnsi="宋体" w:eastAsia="宋体" w:cs="宋体"/>
                <w:color w:val="000000"/>
                <w:sz w:val="21"/>
              </w:rPr>
              <w:t xml:space="preserve">    下阶段总体策略维持中性偏低久期，以票息和杠杆策略为主，注重组合流动性，提升组合静态，同时积极把握债市调整形成的波段操作机会博取超额收益，提高组合收益率。</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58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5"/>
            <w:tcMar>
              <w:top w:w="0" w:type="dxa"/>
              <w:left w:w="0" w:type="dxa"/>
              <w:bottom w:w="0" w:type="dxa"/>
              <w:right w:w="0" w:type="dxa"/>
            </w:tcMar>
            <w:vAlign w:val="center"/>
          </w:tcPr>
          <w:p>
            <w:pPr>
              <w:jc w:val="center"/>
            </w:pPr>
            <w:r>
              <w:rPr>
                <w:rFonts w:ascii="宋体" w:hAnsi="宋体" w:eastAsia="宋体" w:cs="宋体"/>
                <w:b/>
                <w:color w:val="000000"/>
                <w:sz w:val="24"/>
              </w:rPr>
              <w:t>§ 六. 投资组合情况</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p>
            <w:pPr>
              <w:pStyle w:val="4"/>
            </w:pPr>
          </w:p>
        </w:tc>
        <w:tc>
          <w:tcPr>
            <w:gridSpan w:val="16"/>
            <w:tcMar>
              <w:top w:w="0" w:type="dxa"/>
              <w:left w:w="0" w:type="dxa"/>
              <w:bottom w:w="0" w:type="dxa"/>
              <w:right w:w="0" w:type="dxa"/>
            </w:tcMar>
            <w:vAlign w:val="center"/>
          </w:tcPr>
          <w:p>
            <w:pPr>
              <w:jc w:val="left"/>
            </w:pPr>
            <w:r>
              <w:rPr>
                <w:rFonts w:ascii="宋体" w:hAnsi="宋体" w:eastAsia="宋体" w:cs="宋体"/>
                <w:b/>
                <w:color w:val="000000"/>
                <w:sz w:val="21"/>
              </w:rPr>
              <w:t>1.报告期末产品资产组合情况</w:t>
            </w:r>
          </w:p>
        </w:tc>
        <w:tc>
          <w:p>
            <w:pPr>
              <w:pStyle w:val="4"/>
            </w:pPr>
          </w:p>
        </w:tc>
      </w:tr>
      <w:tr>
        <w:tblPrEx>
          <w:tblCellMar>
            <w:top w:w="0" w:type="dxa"/>
            <w:left w:w="10" w:type="dxa"/>
            <w:bottom w:w="0" w:type="dxa"/>
            <w:right w:w="10" w:type="dxa"/>
          </w:tblCellMar>
        </w:tblPrEx>
        <w:trPr>
          <w:gridAfter w:val="2"/>
          <w:trHeight w:val="2100" w:hRule="exact"/>
        </w:trPr>
        <w:tc>
          <w:p>
            <w:pPr>
              <w:pStyle w:val="4"/>
            </w:pPr>
          </w:p>
        </w:tc>
        <w:tc>
          <w:p>
            <w:pPr>
              <w:pStyle w:val="4"/>
            </w:pPr>
          </w:p>
        </w:tc>
        <w:tc>
          <w:tcPr>
            <w:gridSpan w:val="5"/>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p>
            <w:pPr>
              <w:pStyle w:val="4"/>
            </w:pPr>
          </w:p>
        </w:tc>
        <w:tc>
          <w:tcPr>
            <w:gridSpan w:val="5"/>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5/</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5" w:name="JR_PAGE_ANCHOR_0_6"/>
            <w:bookmarkEnd w:id="5"/>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兴银理财天天万利宝稳利8号N款净值型理财产品2024年第一季度报告</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200" w:hRule="exact"/>
        </w:trPr>
        <w:tc>
          <w:p>
            <w:pPr>
              <w:pStyle w:val="4"/>
            </w:pPr>
          </w:p>
        </w:tc>
        <w:tc>
          <w:p>
            <w:pPr>
              <w:pStyle w:val="4"/>
            </w:pPr>
          </w:p>
        </w:tc>
        <w:tc>
          <w:tcPr>
            <w:gridSpan w:val="16"/>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600"/>
              <w:gridCol w:w="3600"/>
              <w:gridCol w:w="3500"/>
            </w:tblGrid>
            <w:tr>
              <w:tblPrEx>
                <w:tblCellMar>
                  <w:top w:w="0" w:type="dxa"/>
                  <w:left w:w="10" w:type="dxa"/>
                  <w:bottom w:w="0" w:type="dxa"/>
                  <w:right w:w="10" w:type="dxa"/>
                </w:tblCellMar>
              </w:tblPrEx>
              <w:trPr>
                <w:trHeight w:val="600" w:hRule="atLeas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资产类型</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直接投资占产品总资产的比例（%）</w:t>
                        </w:r>
                      </w:p>
                    </w:tc>
                  </w:tr>
                </w:tbl>
                <w:p>
                  <w:pPr>
                    <w:pStyle w:val="4"/>
                  </w:pPr>
                </w:p>
              </w:tc>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间接投资占产品总资产的比例（%）</w:t>
                  </w: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现金及银行存款</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0.54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11.07</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同业存单</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1.24</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拆放同业及债券买入返售</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1.23</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债券</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86.46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86.46</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委外投资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总计</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r>
          </w:tbl>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left"/>
            </w:pPr>
            <w:r>
              <w:rPr>
                <w:rFonts w:ascii="宋体" w:hAnsi="宋体" w:eastAsia="宋体" w:cs="宋体"/>
                <w:b/>
                <w:color w:val="000000"/>
                <w:sz w:val="21"/>
              </w:rPr>
              <w:t>2.报告期末杠杆融资情况</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100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报告期末本产品总资产未超过该产品净资产规模的140%，符合产品协议对本产品杠杆比例的要求。</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pPr>
              <w:jc w:val="left"/>
            </w:pPr>
            <w:r>
              <w:rPr>
                <w:rFonts w:ascii="宋体" w:hAnsi="宋体" w:eastAsia="宋体" w:cs="宋体"/>
                <w:b/>
                <w:color w:val="000000"/>
                <w:sz w:val="21"/>
              </w:rPr>
              <w:t>3.投资组合的流动性风险分析</w:t>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2240" w:hRule="atLeast"/>
        </w:trPr>
        <w:tc>
          <w:p>
            <w:pPr>
              <w:pStyle w:val="4"/>
            </w:pPr>
          </w:p>
        </w:tc>
        <w:tc>
          <w:tcPr>
            <w:gridSpan w:val="15"/>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 为防范无法支付赎回款而产生的流动性风险，本理财产品管理人将合理安排所投资产期限，持续根据市场变化情况做好投资安排，尽可能降低产品流动性风险，有效保障理财持有人利益。 报告期内，本理财产品管理人严格遵守相关法律法规以及产品销售协议，对理财产品组合资产的流动性风险进行管理，报告期内未发生流动性风险。</w:t>
            </w:r>
            <w:r>
              <w:rPr>
                <w:rFonts w:ascii="宋体" w:hAnsi="宋体" w:eastAsia="宋体" w:cs="宋体"/>
                <w:color w:val="000000"/>
                <w:sz w:val="21"/>
              </w:rPr>
              <w:br w:type="textWrapping"/>
            </w: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54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p>
            <w:pPr>
              <w:pStyle w:val="4"/>
            </w:pPr>
          </w:p>
        </w:tc>
        <w:tc>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4.报告期末资产持仓前十基本信息</w:t>
            </w:r>
          </w:p>
        </w:tc>
        <w:tc>
          <w:p>
            <w:pPr>
              <w:pStyle w:val="4"/>
            </w:pPr>
          </w:p>
        </w:tc>
      </w:tr>
      <w:tr>
        <w:tblPrEx>
          <w:tblCellMar>
            <w:top w:w="0" w:type="dxa"/>
            <w:left w:w="10" w:type="dxa"/>
            <w:bottom w:w="0" w:type="dxa"/>
            <w:right w:w="10" w:type="dxa"/>
          </w:tblCellMar>
        </w:tblPrEx>
        <w:trPr>
          <w:trHeight w:val="4840" w:hRule="exact"/>
        </w:trPr>
        <w:tc>
          <w:p>
            <w:pPr>
              <w:pStyle w:val="4"/>
            </w:pPr>
          </w:p>
        </w:tc>
        <w:tc>
          <w:p>
            <w:pPr>
              <w:pStyle w:val="4"/>
            </w:pPr>
          </w:p>
        </w:tc>
        <w:tc>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64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资产规模</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占产品资产净值的比例（%）</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23CSFD213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15,164,307.53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7.65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24CSFD53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15,034,985.34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7.59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24CSFD05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12,486,277.16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6.30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23CSFD220</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11,122,220.25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5.61</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22上饶02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10,739,468.90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5.42</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22黄石城投PPN001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10,384,422.95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5.24</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23洛阳城投PPN002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9,471,382.48</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4.78</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120" w:hRule="exact"/>
        </w:trPr>
        <w:tc>
          <w:p>
            <w:pPr>
              <w:pStyle w:val="4"/>
            </w:pPr>
          </w:p>
        </w:tc>
        <w:tc>
          <w:p>
            <w:pPr>
              <w:pStyle w:val="4"/>
            </w:pPr>
          </w:p>
        </w:tc>
        <w:tc>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p>
            <w:pPr>
              <w:pStyle w:val="4"/>
            </w:pPr>
          </w:p>
        </w:tc>
        <w:tc>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6/</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2"/>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6" w:name="JR_PAGE_ANCHOR_0_7"/>
            <w:bookmarkEnd w:id="6"/>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兴银理财天天万利宝稳利8号N款净值型理财产品2024年第一季度报告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800" w:hRule="exact"/>
        </w:trPr>
        <w:tc>
          <w:p>
            <w:pPr>
              <w:pStyle w:val="4"/>
            </w:pPr>
          </w:p>
        </w:tc>
        <w:tc>
          <w:tcPr>
            <w:gridSpan w:val="2"/>
          </w:tcPr>
          <w:p>
            <w:pPr>
              <w:pStyle w:val="4"/>
            </w:pPr>
          </w:p>
        </w:tc>
        <w:tc>
          <w:tcPr>
            <w:gridSpan w:val="17"/>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22南武01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9,284,533.64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4.69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23常德城投PPN004</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9,147,048.16</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4.62</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23建发MTN001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8,492,473.79</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4.29</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4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2"/>
          </w:tcPr>
          <w:p>
            <w:pPr>
              <w:pStyle w:val="4"/>
            </w:pPr>
          </w:p>
        </w:tc>
        <w:tc>
          <w:tcPr>
            <w:gridSpan w:val="17"/>
            <w:tcMar>
              <w:top w:w="0" w:type="dxa"/>
              <w:left w:w="0" w:type="dxa"/>
              <w:bottom w:w="0" w:type="dxa"/>
              <w:right w:w="0" w:type="dxa"/>
            </w:tcMar>
            <w:vAlign w:val="center"/>
          </w:tcPr>
          <w:p>
            <w:r>
              <w:rPr>
                <w:rFonts w:ascii="宋体" w:hAnsi="宋体" w:eastAsia="宋体" w:cs="宋体"/>
                <w:b/>
                <w:color w:val="000000"/>
                <w:sz w:val="21"/>
              </w:rPr>
              <w:t>5.报告期末持有非标准化债权类资产情况</w:t>
            </w: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2"/>
          </w:tcPr>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3600"/>
              <w:gridCol w:w="2200"/>
              <w:gridCol w:w="1200"/>
              <w:gridCol w:w="1600"/>
              <w:gridCol w:w="1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项目名称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融资客户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剩余融资期限（天）</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交易结构</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4B4B4"/>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风险状况</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2"/>
          </w:tcPr>
          <w:p>
            <w:pPr>
              <w:pStyle w:val="4"/>
            </w:pPr>
          </w:p>
        </w:tc>
        <w:tc>
          <w:tcPr>
            <w:gridSpan w:val="17"/>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pPr>
                        <w:r>
                          <w:rPr>
                            <w:rFonts w:ascii="宋体" w:hAnsi="宋体" w:eastAsia="宋体" w:cs="宋体"/>
                            <w:color w:val="000000"/>
                            <w:sz w:val="21"/>
                          </w:rPr>
                          <w:t>无</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5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atLeast"/>
        </w:trPr>
        <w:tc>
          <w:p>
            <w:pPr>
              <w:pStyle w:val="4"/>
            </w:pPr>
          </w:p>
        </w:tc>
        <w:tc>
          <w:tcPr>
            <w:gridSpan w:val="15"/>
            <w:tcMar>
              <w:top w:w="0" w:type="dxa"/>
              <w:left w:w="0" w:type="dxa"/>
              <w:bottom w:w="0" w:type="dxa"/>
              <w:right w:w="0" w:type="dxa"/>
            </w:tcMar>
            <w:vAlign w:val="center"/>
          </w:tcPr>
          <w:p>
            <w:r>
              <w:rPr>
                <w:rFonts w:ascii="宋体" w:hAnsi="宋体" w:eastAsia="宋体" w:cs="宋体"/>
                <w:b/>
                <w:color w:val="000000"/>
                <w:sz w:val="21"/>
              </w:rPr>
              <w:t>6.报告期间关联交易情况</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6.1 理财产品在报告期末投资关联方发行、承销的证券的情况</w:t>
            </w:r>
          </w:p>
        </w:tc>
        <w:tc>
          <w:tcPr>
            <w:gridSpan w:val="4"/>
          </w:tcPr>
          <w:p>
            <w:pPr>
              <w:pStyle w:val="4"/>
            </w:pPr>
          </w:p>
        </w:tc>
        <w:tc>
          <w:p>
            <w:pPr>
              <w:pStyle w:val="4"/>
            </w:pPr>
          </w:p>
        </w:tc>
      </w:tr>
      <w:tr>
        <w:tblPrEx>
          <w:tblCellMar>
            <w:top w:w="0" w:type="dxa"/>
            <w:left w:w="10" w:type="dxa"/>
            <w:bottom w:w="0" w:type="dxa"/>
            <w:right w:w="10" w:type="dxa"/>
          </w:tblCellMar>
        </w:tblPrEx>
        <w:trPr>
          <w:trHeight w:val="30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gridCol w:w="2200"/>
              <w:gridCol w:w="38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承销商/发行人</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23常德城投PPN004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23淮安投控PPN003</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22镇江交通MTN004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九江银行股份有限公司、兴业银行股份有限公司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7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23萍乡投发MTN001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4,500,000.00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九江银行股份有限公司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6.2 理财产品在报告期内其他关联交易</w:t>
            </w:r>
          </w:p>
        </w:tc>
        <w:tc>
          <w:tcPr>
            <w:gridSpan w:val="4"/>
          </w:tcPr>
          <w:p>
            <w:pPr>
              <w:pStyle w:val="4"/>
            </w:pPr>
          </w:p>
        </w:tc>
        <w:tc>
          <w:p>
            <w:pPr>
              <w:pStyle w:val="4"/>
            </w:pPr>
          </w:p>
        </w:tc>
      </w:tr>
      <w:tr>
        <w:tblPrEx>
          <w:tblCellMar>
            <w:top w:w="0" w:type="dxa"/>
            <w:left w:w="10" w:type="dxa"/>
            <w:bottom w:w="0" w:type="dxa"/>
            <w:right w:w="10" w:type="dxa"/>
          </w:tblCellMar>
        </w:tblPrEx>
        <w:trPr>
          <w:trHeight w:val="24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gridCol w:w="2000"/>
              <w:gridCol w:w="1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交易标的</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交易金额（万元）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兴银理财天天万利宝稳利8号N款净值型理财产品</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0.1448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销售服务费</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九江银行股份有限公司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兴银理财天天万利宝稳利8号N款净值型理财产品</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0.3422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销售服务费</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兴银理财天天万利宝稳利8号N款净值型理财产品</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1.8248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托管费</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1"/>
            <w:tcMar>
              <w:top w:w="0" w:type="dxa"/>
              <w:left w:w="0" w:type="dxa"/>
              <w:bottom w:w="0" w:type="dxa"/>
              <w:right w:w="0" w:type="dxa"/>
            </w:tcMar>
            <w:vAlign w:val="top"/>
          </w:tcPr>
          <w:p>
            <w:r>
              <w:rPr>
                <w:rFonts w:ascii="宋体" w:hAnsi="宋体" w:eastAsia="宋体" w:cs="宋体"/>
                <w:color w:val="000000"/>
                <w:sz w:val="20"/>
              </w:rPr>
              <w:t>6.3 理财产品在报告期内中的重大关联交易</w:t>
            </w: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gridCol w:w="2000"/>
              <w:gridCol w:w="1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6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17"/>
            <w:tcMar>
              <w:top w:w="0" w:type="dxa"/>
              <w:left w:w="0" w:type="dxa"/>
              <w:bottom w:w="0" w:type="dxa"/>
              <w:right w:w="0" w:type="dxa"/>
            </w:tcMar>
            <w:vAlign w:val="center"/>
          </w:tcPr>
          <w:p>
            <w:pPr>
              <w:jc w:val="left"/>
            </w:pPr>
            <w:r>
              <w:rPr>
                <w:rFonts w:ascii="宋体" w:hAnsi="宋体" w:eastAsia="宋体" w:cs="宋体"/>
                <w:b/>
                <w:color w:val="000000"/>
                <w:sz w:val="21"/>
              </w:rPr>
              <w:t>7.投资账户信息</w:t>
            </w:r>
          </w:p>
        </w:tc>
        <w:tc>
          <w:p>
            <w:pPr>
              <w:pStyle w:val="4"/>
            </w:pPr>
          </w:p>
        </w:tc>
      </w:tr>
      <w:tr>
        <w:tblPrEx>
          <w:tblCellMar>
            <w:top w:w="0" w:type="dxa"/>
            <w:left w:w="10" w:type="dxa"/>
            <w:bottom w:w="0" w:type="dxa"/>
            <w:right w:w="10" w:type="dxa"/>
          </w:tblCellMar>
        </w:tblPrEx>
        <w:trPr>
          <w:trHeight w:val="920" w:hRule="exact"/>
        </w:trPr>
        <w:tc>
          <w:p>
            <w:pPr>
              <w:pStyle w:val="4"/>
            </w:pPr>
          </w:p>
        </w:tc>
        <w:tc>
          <w:tcPr>
            <w:gridSpan w:val="2"/>
          </w:tcPr>
          <w:p>
            <w:pPr>
              <w:pStyle w:val="4"/>
            </w:pPr>
          </w:p>
        </w:tc>
        <w:tc>
          <w:tcPr>
            <w:gridSpan w:val="2"/>
          </w:tcPr>
          <w:p>
            <w:pPr>
              <w:pStyle w:val="4"/>
            </w:pPr>
          </w:p>
        </w:tc>
        <w:tc>
          <w:tcPr>
            <w:gridSpan w:val="2"/>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2"/>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7/</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7" w:name="JR_PAGE_ANCHOR_0_8"/>
            <w:bookmarkEnd w:id="7"/>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兴银理财天天万利宝稳利8号N款净值型理财产品2024年第一季度报告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5"/>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17"/>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200"/>
              <w:gridCol w:w="3000"/>
              <w:gridCol w:w="45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账户编号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3B4B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托管账户</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051010100101322645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兴银理财天天万利宝稳利8号N款净值型理财产品</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960"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center"/>
          </w:tcPr>
          <w:p>
            <w:pPr>
              <w:jc w:val="right"/>
            </w:pPr>
            <w:r>
              <w:rPr>
                <w:rFonts w:ascii="宋体" w:hAnsi="宋体" w:eastAsia="宋体" w:cs="宋体"/>
                <w:color w:val="000000"/>
                <w:sz w:val="21"/>
              </w:rPr>
              <w:t>兴银理财有限责任公司</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5"/>
            <w:tcMar>
              <w:top w:w="0" w:type="dxa"/>
              <w:left w:w="0" w:type="dxa"/>
              <w:bottom w:w="0" w:type="dxa"/>
              <w:right w:w="0" w:type="dxa"/>
            </w:tcMar>
            <w:vAlign w:val="top"/>
          </w:tcPr>
          <w:p>
            <w:pPr>
              <w:jc w:val="right"/>
            </w:pPr>
            <w:r>
              <w:rPr>
                <w:rFonts w:ascii="宋体" w:hAnsi="宋体" w:eastAsia="宋体" w:cs="宋体"/>
                <w:color w:val="000000"/>
                <w:sz w:val="21"/>
              </w:rPr>
              <w:t>2024年4月22日</w:t>
            </w:r>
          </w:p>
        </w:tc>
        <w:tc>
          <w:tcPr>
            <w:gridSpan w:val="4"/>
          </w:tcPr>
          <w:p>
            <w:pPr>
              <w:pStyle w:val="4"/>
            </w:pPr>
          </w:p>
        </w:tc>
        <w:tc>
          <w:p>
            <w:pPr>
              <w:pStyle w:val="4"/>
            </w:pPr>
          </w:p>
        </w:tc>
      </w:tr>
      <w:tr>
        <w:tblPrEx>
          <w:tblCellMar>
            <w:top w:w="0" w:type="dxa"/>
            <w:left w:w="10" w:type="dxa"/>
            <w:bottom w:w="0" w:type="dxa"/>
            <w:right w:w="10" w:type="dxa"/>
          </w:tblCellMar>
        </w:tblPrEx>
        <w:trPr>
          <w:trHeight w:val="7205" w:hRule="exact"/>
        </w:trPr>
        <w:tc>
          <w:p>
            <w:pPr>
              <w:pStyle w:val="4"/>
            </w:pPr>
          </w:p>
        </w:tc>
        <w:tc>
          <w:tcPr>
            <w:gridSpan w:val="2"/>
          </w:tcPr>
          <w:p>
            <w:pPr>
              <w:pStyle w:val="4"/>
            </w:pPr>
          </w:p>
        </w:tc>
        <w:tc>
          <w:tcPr>
            <w:gridSpan w:val="4"/>
          </w:tcPr>
          <w:p>
            <w:pPr>
              <w:pStyle w:val="4"/>
            </w:pPr>
          </w:p>
        </w:tc>
        <w:tc>
          <w:tcPr>
            <w:gridSpan w:val="3"/>
          </w:tcPr>
          <w:p>
            <w:pPr>
              <w:pStyle w:val="4"/>
            </w:pPr>
          </w:p>
        </w:tc>
        <w:tc>
          <w:tcPr>
            <w:gridSpan w:val="2"/>
          </w:tcPr>
          <w:p>
            <w:pPr>
              <w:pStyle w:val="4"/>
            </w:pPr>
          </w:p>
        </w:tc>
        <w:tc>
          <w:tcPr>
            <w:gridSpan w:val="4"/>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4"/>
          </w:tcPr>
          <w:p>
            <w:pPr>
              <w:pStyle w:val="4"/>
            </w:pPr>
          </w:p>
        </w:tc>
        <w:tc>
          <w:tcPr>
            <w:gridSpan w:val="3"/>
            <w:tcMar>
              <w:top w:w="0" w:type="dxa"/>
              <w:left w:w="0" w:type="dxa"/>
              <w:bottom w:w="0" w:type="dxa"/>
              <w:right w:w="0" w:type="dxa"/>
            </w:tcMar>
            <w:vAlign w:val="top"/>
          </w:tcPr>
          <w:p>
            <w:pPr>
              <w:jc w:val="right"/>
            </w:pPr>
            <w:r>
              <w:rPr>
                <w:rFonts w:ascii="SansSerif" w:hAnsi="SansSerif" w:eastAsia="SansSerif" w:cs="SansSerif"/>
                <w:color w:val="000000"/>
                <w:sz w:val="18"/>
              </w:rPr>
              <w:t>8/</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8</w:t>
            </w:r>
          </w:p>
        </w:tc>
        <w:tc>
          <w:tcPr>
            <w:gridSpan w:val="4"/>
          </w:tcPr>
          <w:p>
            <w:pPr>
              <w:pStyle w:val="4"/>
            </w:pPr>
          </w:p>
        </w:tc>
        <w:tc>
          <w:tcPr>
            <w:gridSpan w:val="4"/>
          </w:tcPr>
          <w:p>
            <w:pPr>
              <w:pStyle w:val="4"/>
            </w:pPr>
          </w:p>
        </w:tc>
        <w:tc>
          <w:p>
            <w:pPr>
              <w:pStyle w:val="4"/>
            </w:pPr>
          </w:p>
        </w:tc>
      </w:tr>
    </w:tbl>
    <w:p/>
    <w:sectPr>
      <w:pgSz w:w="11900" w:h="16840"/>
      <w:pgMar w:top="600" w:right="560" w:bottom="240" w:left="600" w:header="0" w:footer="0" w:gutter="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800"/>
  <w:compat>
    <w:useFELayout/>
    <w:splitPgBreakAndParaMark/>
    <w:compatSetting w:name="compatibilityMode" w:uri="http://schemas.microsoft.com/office/word" w:val="12"/>
  </w:compat>
  <w:rsids>
    <w:rsidRoot w:val="00000000"/>
    <w:rsid w:val="68B32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EMPTY_CELL_STYLE"/>
    <w:qFormat/>
    <w:uiPriority w:val="0"/>
    <w:pPr>
      <w:spacing w:line="240" w:lineRule="auto"/>
    </w:pPr>
    <w:rPr>
      <w:rFonts w:ascii="SansSerif" w:hAnsi="SansSerif" w:eastAsia="SansSerif" w:cs="SansSerif"/>
      <w:color w:val="000000"/>
      <w:sz w:val="1"/>
      <w:szCs w:val="22"/>
    </w:rPr>
  </w:style>
  <w:style w:type="paragraph" w:customStyle="1" w:styleId="5">
    <w:name w:val="Table_TH"/>
    <w:qFormat/>
    <w:uiPriority w:val="0"/>
    <w:pPr>
      <w:spacing w:line="240" w:lineRule="auto"/>
    </w:pPr>
    <w:rPr>
      <w:rFonts w:ascii="SansSerif" w:hAnsi="SansSerif" w:eastAsia="SansSerif" w:cs="SansSerif"/>
      <w:color w:val="000000"/>
      <w:sz w:val="20"/>
      <w:szCs w:val="22"/>
    </w:rPr>
  </w:style>
  <w:style w:type="paragraph" w:customStyle="1" w:styleId="6">
    <w:name w:val="Table_CH"/>
    <w:qFormat/>
    <w:uiPriority w:val="0"/>
    <w:pPr>
      <w:spacing w:line="240" w:lineRule="auto"/>
    </w:pPr>
    <w:rPr>
      <w:rFonts w:ascii="SansSerif" w:hAnsi="SansSerif" w:eastAsia="SansSerif" w:cs="SansSerif"/>
      <w:color w:val="000000"/>
      <w:sz w:val="20"/>
      <w:szCs w:val="22"/>
    </w:rPr>
  </w:style>
  <w:style w:type="paragraph" w:customStyle="1" w:styleId="7">
    <w:name w:val="Table_TD"/>
    <w:qFormat/>
    <w:uiPriority w:val="0"/>
    <w:pPr>
      <w:spacing w:line="240" w:lineRule="auto"/>
    </w:pPr>
    <w:rPr>
      <w:rFonts w:ascii="SansSerif" w:hAnsi="SansSerif" w:eastAsia="SansSerif" w:cs="SansSerif"/>
      <w:color w:val="000000"/>
      <w:sz w:val="20"/>
      <w:szCs w:val="22"/>
    </w:rPr>
  </w:style>
  <w:style w:type="paragraph" w:customStyle="1" w:styleId="8">
    <w:name w:val="Table_CD"/>
    <w:qFormat/>
    <w:uiPriority w:val="0"/>
    <w:pPr>
      <w:spacing w:line="240" w:lineRule="auto"/>
    </w:pPr>
    <w:rPr>
      <w:rFonts w:ascii="SansSerif" w:hAnsi="SansSerif" w:eastAsia="SansSerif" w:cs="SansSerif"/>
      <w:color w:val="000000"/>
      <w:sz w:val="20"/>
      <w:szCs w:val="22"/>
    </w:rPr>
  </w:style>
  <w:style w:type="paragraph" w:customStyle="1" w:styleId="9">
    <w:name w:val="Table 1_TH"/>
    <w:qFormat/>
    <w:uiPriority w:val="0"/>
    <w:pPr>
      <w:spacing w:line="240" w:lineRule="auto"/>
    </w:pPr>
    <w:rPr>
      <w:rFonts w:ascii="SansSerif" w:hAnsi="SansSerif" w:eastAsia="SansSerif" w:cs="SansSerif"/>
      <w:color w:val="000000"/>
      <w:sz w:val="20"/>
      <w:szCs w:val="22"/>
    </w:rPr>
  </w:style>
  <w:style w:type="paragraph" w:customStyle="1" w:styleId="10">
    <w:name w:val="Table 1_CH"/>
    <w:qFormat/>
    <w:uiPriority w:val="0"/>
    <w:pPr>
      <w:spacing w:line="240" w:lineRule="auto"/>
    </w:pPr>
    <w:rPr>
      <w:rFonts w:ascii="SansSerif" w:hAnsi="SansSerif" w:eastAsia="SansSerif" w:cs="SansSerif"/>
      <w:color w:val="000000"/>
      <w:sz w:val="20"/>
      <w:szCs w:val="22"/>
    </w:rPr>
  </w:style>
  <w:style w:type="paragraph" w:customStyle="1" w:styleId="11">
    <w:name w:val="Table 1_TD"/>
    <w:qFormat/>
    <w:uiPriority w:val="0"/>
    <w:pPr>
      <w:spacing w:line="240" w:lineRule="auto"/>
    </w:pPr>
    <w:rPr>
      <w:rFonts w:ascii="SansSerif" w:hAnsi="SansSerif" w:eastAsia="SansSerif" w:cs="SansSerif"/>
      <w:color w:val="000000"/>
      <w:sz w:val="20"/>
      <w:szCs w:val="22"/>
    </w:rPr>
  </w:style>
  <w:style w:type="paragraph" w:customStyle="1" w:styleId="12">
    <w:name w:val="Table 2_TH"/>
    <w:qFormat/>
    <w:uiPriority w:val="0"/>
    <w:pPr>
      <w:spacing w:line="240" w:lineRule="auto"/>
    </w:pPr>
    <w:rPr>
      <w:rFonts w:ascii="SansSerif" w:hAnsi="SansSerif" w:eastAsia="SansSerif" w:cs="SansSerif"/>
      <w:color w:val="000000"/>
      <w:sz w:val="20"/>
      <w:szCs w:val="22"/>
    </w:rPr>
  </w:style>
  <w:style w:type="paragraph" w:customStyle="1" w:styleId="13">
    <w:name w:val="Table 2_CH"/>
    <w:qFormat/>
    <w:uiPriority w:val="0"/>
    <w:pPr>
      <w:spacing w:line="240" w:lineRule="auto"/>
    </w:pPr>
    <w:rPr>
      <w:rFonts w:ascii="SansSerif" w:hAnsi="SansSerif" w:eastAsia="SansSerif" w:cs="SansSerif"/>
      <w:color w:val="000000"/>
      <w:sz w:val="20"/>
      <w:szCs w:val="22"/>
    </w:rPr>
  </w:style>
  <w:style w:type="paragraph" w:customStyle="1" w:styleId="14">
    <w:name w:val="Table 2_TD"/>
    <w:qFormat/>
    <w:uiPriority w:val="0"/>
    <w:pPr>
      <w:spacing w:line="240" w:lineRule="auto"/>
    </w:pPr>
    <w:rPr>
      <w:rFonts w:ascii="SansSerif" w:hAnsi="SansSerif" w:eastAsia="SansSerif" w:cs="SansSerif"/>
      <w:color w:val="000000"/>
      <w:sz w:val="20"/>
      <w:szCs w:val="22"/>
    </w:rPr>
  </w:style>
  <w:style w:type="paragraph" w:customStyle="1" w:styleId="15">
    <w:name w:val="Table 3_TH"/>
    <w:qFormat/>
    <w:uiPriority w:val="0"/>
    <w:pPr>
      <w:spacing w:line="240" w:lineRule="auto"/>
    </w:pPr>
    <w:rPr>
      <w:rFonts w:ascii="SansSerif" w:hAnsi="SansSerif" w:eastAsia="SansSerif" w:cs="SansSerif"/>
      <w:color w:val="000000"/>
      <w:sz w:val="20"/>
      <w:szCs w:val="22"/>
    </w:rPr>
  </w:style>
  <w:style w:type="paragraph" w:customStyle="1" w:styleId="16">
    <w:name w:val="Table 3_CH"/>
    <w:qFormat/>
    <w:uiPriority w:val="0"/>
    <w:pPr>
      <w:spacing w:line="240" w:lineRule="auto"/>
    </w:pPr>
    <w:rPr>
      <w:rFonts w:ascii="SansSerif" w:hAnsi="SansSerif" w:eastAsia="SansSerif" w:cs="SansSerif"/>
      <w:color w:val="000000"/>
      <w:sz w:val="20"/>
      <w:szCs w:val="22"/>
    </w:rPr>
  </w:style>
  <w:style w:type="paragraph" w:customStyle="1" w:styleId="17">
    <w:name w:val="Table 3_TD"/>
    <w:qFormat/>
    <w:uiPriority w:val="0"/>
    <w:pPr>
      <w:spacing w:line="240" w:lineRule="auto"/>
    </w:pPr>
    <w:rPr>
      <w:rFonts w:ascii="SansSerif" w:hAnsi="SansSerif" w:eastAsia="SansSerif" w:cs="SansSerif"/>
      <w:color w:val="000000"/>
      <w:sz w:val="20"/>
      <w:szCs w:val="22"/>
    </w:rPr>
  </w:style>
  <w:style w:type="paragraph" w:customStyle="1" w:styleId="18">
    <w:name w:val="Table 4_TH"/>
    <w:qFormat/>
    <w:uiPriority w:val="0"/>
    <w:pPr>
      <w:spacing w:line="240" w:lineRule="auto"/>
    </w:pPr>
    <w:rPr>
      <w:rFonts w:ascii="SansSerif" w:hAnsi="SansSerif" w:eastAsia="SansSerif" w:cs="SansSerif"/>
      <w:color w:val="000000"/>
      <w:sz w:val="20"/>
      <w:szCs w:val="22"/>
    </w:rPr>
  </w:style>
  <w:style w:type="paragraph" w:customStyle="1" w:styleId="19">
    <w:name w:val="Table 4_CH"/>
    <w:qFormat/>
    <w:uiPriority w:val="0"/>
    <w:pPr>
      <w:spacing w:line="240" w:lineRule="auto"/>
    </w:pPr>
    <w:rPr>
      <w:rFonts w:ascii="SansSerif" w:hAnsi="SansSerif" w:eastAsia="SansSerif" w:cs="SansSerif"/>
      <w:color w:val="000000"/>
      <w:sz w:val="20"/>
      <w:szCs w:val="22"/>
    </w:rPr>
  </w:style>
  <w:style w:type="paragraph" w:customStyle="1" w:styleId="20">
    <w:name w:val="Table 4_TD"/>
    <w:qFormat/>
    <w:uiPriority w:val="0"/>
    <w:pPr>
      <w:spacing w:line="240" w:lineRule="auto"/>
    </w:pPr>
    <w:rPr>
      <w:rFonts w:ascii="SansSerif" w:hAnsi="SansSerif" w:eastAsia="SansSerif" w:cs="SansSerif"/>
      <w:color w:val="000000"/>
      <w:sz w:val="20"/>
      <w:szCs w:val="22"/>
    </w:rPr>
  </w:style>
  <w:style w:type="paragraph" w:customStyle="1" w:styleId="21">
    <w:name w:val="Table 5_TH"/>
    <w:qFormat/>
    <w:uiPriority w:val="0"/>
    <w:pPr>
      <w:spacing w:line="240" w:lineRule="auto"/>
    </w:pPr>
    <w:rPr>
      <w:rFonts w:ascii="SansSerif" w:hAnsi="SansSerif" w:eastAsia="SansSerif" w:cs="SansSerif"/>
      <w:color w:val="000000"/>
      <w:sz w:val="20"/>
      <w:szCs w:val="22"/>
    </w:rPr>
  </w:style>
  <w:style w:type="paragraph" w:customStyle="1" w:styleId="22">
    <w:name w:val="Table 5_CH"/>
    <w:qFormat/>
    <w:uiPriority w:val="0"/>
    <w:pPr>
      <w:spacing w:line="240" w:lineRule="auto"/>
    </w:pPr>
    <w:rPr>
      <w:rFonts w:ascii="SansSerif" w:hAnsi="SansSerif" w:eastAsia="SansSerif" w:cs="SansSerif"/>
      <w:color w:val="000000"/>
      <w:sz w:val="20"/>
      <w:szCs w:val="22"/>
    </w:rPr>
  </w:style>
  <w:style w:type="paragraph" w:customStyle="1" w:styleId="23">
    <w:name w:val="Table 5_TD"/>
    <w:qFormat/>
    <w:uiPriority w:val="0"/>
    <w:pPr>
      <w:spacing w:line="240" w:lineRule="auto"/>
    </w:pPr>
    <w:rPr>
      <w:rFonts w:ascii="SansSerif" w:hAnsi="SansSerif" w:eastAsia="SansSerif" w:cs="SansSerif"/>
      <w:color w:val="000000"/>
      <w:sz w:val="20"/>
      <w:szCs w:val="22"/>
    </w:rPr>
  </w:style>
  <w:style w:type="paragraph" w:customStyle="1" w:styleId="24">
    <w:name w:val="Table 6_TH"/>
    <w:qFormat/>
    <w:uiPriority w:val="0"/>
    <w:pPr>
      <w:spacing w:line="240" w:lineRule="auto"/>
    </w:pPr>
    <w:rPr>
      <w:rFonts w:ascii="SansSerif" w:hAnsi="SansSerif" w:eastAsia="SansSerif" w:cs="SansSerif"/>
      <w:color w:val="000000"/>
      <w:sz w:val="20"/>
      <w:szCs w:val="22"/>
    </w:rPr>
  </w:style>
  <w:style w:type="paragraph" w:customStyle="1" w:styleId="25">
    <w:name w:val="Table 6_CH"/>
    <w:qFormat/>
    <w:uiPriority w:val="0"/>
    <w:pPr>
      <w:spacing w:line="240" w:lineRule="auto"/>
    </w:pPr>
    <w:rPr>
      <w:rFonts w:ascii="SansSerif" w:hAnsi="SansSerif" w:eastAsia="SansSerif" w:cs="SansSerif"/>
      <w:color w:val="000000"/>
      <w:sz w:val="20"/>
      <w:szCs w:val="22"/>
    </w:rPr>
  </w:style>
  <w:style w:type="paragraph" w:customStyle="1" w:styleId="26">
    <w:name w:val="Table 6_TD"/>
    <w:qFormat/>
    <w:uiPriority w:val="0"/>
    <w:pPr>
      <w:spacing w:line="240" w:lineRule="auto"/>
    </w:pPr>
    <w:rPr>
      <w:rFonts w:ascii="SansSerif" w:hAnsi="SansSerif" w:eastAsia="SansSerif" w:cs="SansSerif"/>
      <w:color w:val="000000"/>
      <w:sz w:val="2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2024-04-19T10:09:29Z</dcterms:created>
  <dc:creator>wot_hufangting_zy</dc:creator>
  <cp:lastModifiedBy>wot_hufangting_zy</cp:lastModifiedBy>
  <dcterms:modified xsi:type="dcterms:W3CDTF">2024-04-19T10:12:45Z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