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2.0 -->
  <w:body>
    <w:p w:rsidR="00D80E27" w:rsidP="00D80E27">
      <w:pPr>
        <w:jc w:val="center"/>
        <w:rPr>
          <w:rFonts w:ascii="宋体" w:eastAsia="宋体" w:hAnsi="宋体"/>
          <w:b/>
          <w:sz w:val="32"/>
          <w:szCs w:val="20"/>
        </w:rPr>
      </w:pPr>
      <w:bookmarkStart w:id="0" w:name="_Toc379618105"/>
    </w:p>
    <w:p w:rsidR="00D80E27" w:rsidP="00D80E27">
      <w:pPr>
        <w:adjustRightInd w:val="0"/>
        <w:snapToGrid w:val="0"/>
        <w:spacing w:line="460" w:lineRule="exact"/>
        <w:jc w:val="center"/>
        <w:rPr>
          <w:rFonts w:ascii="Times New Roman" w:eastAsia="方正楷体简体" w:hAnsi="Times New Roman"/>
          <w:sz w:val="24"/>
        </w:rPr>
      </w:pPr>
    </w:p>
    <w:p w:rsidR="00D80E27" w:rsidP="00D80E27"/>
    <w:p w:rsidR="00D80E27" w:rsidP="00D80E27">
      <w:pPr>
        <w:autoSpaceDE w:val="0"/>
        <w:autoSpaceDN w:val="0"/>
        <w:spacing w:before="220"/>
        <w:jc w:val="center"/>
        <w:rPr>
          <w:rFonts w:ascii="仿宋_GB2312" w:eastAsia="仿宋_GB2312" w:hAnsi="仿宋_GB2312" w:cs="仿宋_GB2312"/>
          <w:b/>
          <w:kern w:val="0"/>
          <w:sz w:val="52"/>
          <w:szCs w:val="52"/>
          <w:lang w:bidi="zh-CN"/>
        </w:rPr>
      </w:pPr>
      <w:r>
        <w:rPr>
          <w:rFonts w:ascii="仿宋_GB2312" w:eastAsia="仿宋_GB2312" w:hAnsi="仿宋_GB2312" w:cs="仿宋_GB2312" w:hint="eastAsia"/>
          <w:b/>
          <w:kern w:val="0"/>
          <w:sz w:val="52"/>
          <w:szCs w:val="52"/>
          <w:lang w:bidi="zh-CN"/>
        </w:rPr>
        <w:t>幸福99添益(安享优选)90天持有期理财</w:t>
      </w:r>
    </w:p>
    <w:p w:rsidR="00D80E27" w:rsidP="00D80E27">
      <w:pPr>
        <w:autoSpaceDE w:val="0"/>
        <w:autoSpaceDN w:val="0"/>
        <w:spacing w:line="360" w:lineRule="auto"/>
        <w:jc w:val="center"/>
        <w:rPr>
          <w:rFonts w:ascii="仿宋_GB2312" w:eastAsia="仿宋_GB2312" w:hAnsi="仿宋_GB2312" w:cs="仿宋_GB2312"/>
          <w:b/>
          <w:bCs/>
          <w:kern w:val="0"/>
          <w:sz w:val="44"/>
          <w:szCs w:val="44"/>
          <w:lang w:bidi="zh-CN"/>
        </w:rPr>
      </w:pPr>
      <w:r>
        <w:rPr>
          <w:rFonts w:ascii="仿宋_GB2312" w:eastAsia="仿宋_GB2312" w:hAnsi="仿宋_GB2312" w:cs="仿宋_GB2312" w:hint="eastAsia"/>
          <w:b/>
          <w:bCs/>
          <w:kern w:val="0"/>
          <w:sz w:val="44"/>
          <w:szCs w:val="44"/>
          <w:lang w:bidi="zh-CN"/>
        </w:rPr>
        <w:t>2025</w:t>
      </w:r>
      <w:r>
        <w:rPr>
          <w:rFonts w:ascii="仿宋_GB2312" w:eastAsia="仿宋_GB2312" w:hAnsi="仿宋_GB2312" w:cs="仿宋_GB2312"/>
          <w:b/>
          <w:sz w:val="44"/>
        </w:rPr>
        <w:t>年第</w:t>
      </w:r>
      <w:r>
        <w:rPr>
          <w:rFonts w:ascii="仿宋_GB2312" w:eastAsia="仿宋_GB2312" w:hAnsi="仿宋_GB2312" w:cs="仿宋_GB2312"/>
          <w:b/>
          <w:sz w:val="44"/>
        </w:rPr>
        <w:t>1</w:t>
      </w:r>
      <w:r>
        <w:rPr>
          <w:rFonts w:ascii="仿宋_GB2312" w:eastAsia="仿宋_GB2312" w:hAnsi="仿宋_GB2312" w:cs="仿宋_GB2312"/>
          <w:b/>
          <w:sz w:val="44"/>
        </w:rPr>
        <w:t>季度报告</w:t>
      </w:r>
    </w:p>
    <w:p w:rsidR="00D80E27" w:rsidP="00D80E27">
      <w:pPr>
        <w:jc w:val="center"/>
        <w:rPr>
          <w:rFonts w:ascii="宋体" w:eastAsia="宋体" w:hAnsi="宋体"/>
          <w:color w:val="0000FF"/>
          <w:kern w:val="0"/>
          <w:sz w:val="18"/>
          <w:szCs w:val="20"/>
        </w:rPr>
      </w:pPr>
    </w:p>
    <w:p w:rsidR="00D80E27" w:rsidP="00D80E27">
      <w:pPr>
        <w:jc w:val="center"/>
        <w:rPr>
          <w:rFonts w:ascii="Times New Roman" w:eastAsia="宋体" w:hAnsi="Times New Roman"/>
          <w:sz w:val="24"/>
        </w:rPr>
      </w:pPr>
    </w:p>
    <w:p w:rsidR="00D80E27" w:rsidP="00D80E27">
      <w:pPr>
        <w:jc w:val="center"/>
        <w:rPr>
          <w:rFonts w:eastAsia="宋体"/>
          <w:sz w:val="24"/>
        </w:rPr>
      </w:pPr>
    </w:p>
    <w:p w:rsidR="00D80E27" w:rsidP="00D80E27">
      <w:pPr>
        <w:jc w:val="center"/>
        <w:rPr>
          <w:rFonts w:eastAsia="宋体"/>
          <w:sz w:val="24"/>
        </w:rPr>
      </w:pPr>
    </w:p>
    <w:p w:rsidR="00D80E27" w:rsidP="00D80E27">
      <w:pPr>
        <w:jc w:val="center"/>
        <w:rPr>
          <w:rFonts w:ascii="仿宋" w:eastAsia="仿宋" w:hAnsi="仿宋"/>
          <w:sz w:val="24"/>
        </w:rPr>
      </w:pPr>
    </w:p>
    <w:p w:rsidR="00D80E27" w:rsidP="00D80E27">
      <w:pPr>
        <w:jc w:val="center"/>
        <w:rPr>
          <w:rFonts w:ascii="仿宋" w:eastAsia="仿宋" w:hAnsi="仿宋"/>
          <w:sz w:val="24"/>
        </w:rPr>
      </w:pPr>
    </w:p>
    <w:p w:rsidR="00D80E27" w:rsidP="00D80E27">
      <w:pPr>
        <w:jc w:val="center"/>
        <w:rPr>
          <w:rFonts w:ascii="仿宋" w:eastAsia="仿宋" w:hAnsi="仿宋"/>
          <w:sz w:val="24"/>
        </w:rPr>
      </w:pPr>
      <w:r>
        <w:rPr>
          <w:rFonts w:ascii="仿宋" w:eastAsia="仿宋" w:hAnsi="仿宋" w:hint="eastAsia"/>
          <w:sz w:val="24"/>
        </w:rPr>
        <w:t>产品管理人：</w:t>
      </w:r>
      <w:r>
        <w:rPr>
          <w:rFonts w:ascii="仿宋" w:eastAsia="仿宋" w:hAnsi="仿宋" w:cs="仿宋"/>
          <w:sz w:val="24"/>
        </w:rPr>
        <w:t>杭银理财有限责任公司</w:t>
      </w:r>
    </w:p>
    <w:p w:rsidR="00D80E27" w:rsidP="00D80E27">
      <w:pPr>
        <w:jc w:val="center"/>
        <w:rPr>
          <w:rFonts w:ascii="仿宋" w:eastAsia="仿宋" w:hAnsi="仿宋"/>
          <w:sz w:val="24"/>
        </w:rPr>
      </w:pPr>
      <w:r>
        <w:rPr>
          <w:rFonts w:ascii="仿宋" w:eastAsia="仿宋" w:hAnsi="仿宋" w:hint="eastAsia"/>
          <w:sz w:val="24"/>
        </w:rPr>
        <w:t>产品托管人：</w:t>
      </w:r>
      <w:r>
        <w:rPr>
          <w:rFonts w:ascii="仿宋" w:eastAsia="仿宋" w:hAnsi="仿宋" w:cs="仿宋"/>
          <w:sz w:val="24"/>
        </w:rPr>
        <w:t>杭州银行股份有限公司</w:t>
      </w:r>
    </w:p>
    <w:p w:rsidR="00D80E27" w:rsidP="00D80E27">
      <w:pPr>
        <w:jc w:val="center"/>
        <w:rPr>
          <w:rFonts w:ascii="仿宋" w:eastAsia="仿宋" w:hAnsi="仿宋"/>
          <w:sz w:val="24"/>
        </w:rPr>
      </w:pPr>
    </w:p>
    <w:p w:rsidR="00D80E27" w:rsidP="00D80E27">
      <w:pPr>
        <w:jc w:val="center"/>
        <w:rPr>
          <w:rFonts w:ascii="仿宋" w:eastAsia="仿宋" w:hAnsi="仿宋"/>
          <w:sz w:val="24"/>
        </w:rPr>
      </w:pPr>
    </w:p>
    <w:p w:rsidR="00D80E27" w:rsidP="00D80E27">
      <w:pPr>
        <w:jc w:val="center"/>
        <w:rPr>
          <w:rFonts w:ascii="仿宋" w:eastAsia="仿宋" w:hAnsi="仿宋"/>
          <w:sz w:val="24"/>
        </w:rPr>
      </w:pPr>
    </w:p>
    <w:p w:rsidR="00D80E27" w:rsidP="00D80E27">
      <w:pPr>
        <w:jc w:val="center"/>
        <w:rPr>
          <w:rFonts w:ascii="仿宋" w:eastAsia="仿宋" w:hAnsi="仿宋"/>
          <w:sz w:val="24"/>
        </w:rPr>
      </w:pPr>
      <w:r>
        <w:rPr>
          <w:rFonts w:ascii="仿宋" w:eastAsia="仿宋" w:hAnsi="仿宋" w:hint="eastAsia"/>
          <w:sz w:val="24"/>
        </w:rPr>
        <w:t>2025年4月15日</w:t>
      </w:r>
    </w:p>
    <w:p w:rsidR="00D80E27" w:rsidP="00D80E27">
      <w:pPr>
        <w:jc w:val="center"/>
        <w:rPr>
          <w:rFonts w:ascii="仿宋" w:eastAsia="仿宋" w:hAnsi="仿宋"/>
          <w:sz w:val="24"/>
        </w:rPr>
      </w:pPr>
    </w:p>
    <w:p w:rsidR="00D80E27" w:rsidP="00D80E27">
      <w:pPr>
        <w:jc w:val="center"/>
        <w:rPr>
          <w:rFonts w:ascii="仿宋" w:eastAsia="仿宋" w:hAnsi="仿宋"/>
          <w:sz w:val="24"/>
        </w:rPr>
      </w:pPr>
    </w:p>
    <w:p w:rsidR="00D80E27" w:rsidP="00D80E27">
      <w:pPr>
        <w:jc w:val="center"/>
        <w:rPr>
          <w:rFonts w:ascii="宋体" w:eastAsia="宋体" w:hAnsi="宋体"/>
        </w:rPr>
      </w:pPr>
    </w:p>
    <w:p w:rsidR="00D80E27" w:rsidP="00D80E27">
      <w:pPr>
        <w:jc w:val="center"/>
        <w:rPr>
          <w:rFonts w:ascii="宋体" w:eastAsia="宋体" w:hAnsi="宋体"/>
        </w:rPr>
      </w:pPr>
    </w:p>
    <w:p w:rsidR="0014030B">
      <w:pPr>
        <w:pStyle w:val="Heading2"/>
        <w:adjustRightInd w:val="0"/>
        <w:snapToGrid w:val="0"/>
        <w:spacing w:line="560" w:lineRule="exact"/>
        <w:jc w:val="center"/>
        <w:rPr>
          <w:rFonts w:ascii="仿宋" w:eastAsia="仿宋" w:hAnsi="仿宋" w:cs="仿宋"/>
          <w:sz w:val="24"/>
        </w:rPr>
      </w:pPr>
      <w:r>
        <w:rPr>
          <w:rFonts w:ascii="仿宋" w:eastAsia="仿宋" w:hAnsi="仿宋" w:cs="仿宋" w:hint="eastAsia"/>
          <w:sz w:val="24"/>
        </w:rPr>
        <w:t>§1  重要提示</w:t>
      </w:r>
      <w:bookmarkEnd w:id="0"/>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20"/>
      </w:tblGrid>
      <w:tr>
        <w:tblPrEx>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41"/>
        </w:trPr>
        <w:tc>
          <w:tcPr>
            <w:tcW w:w="9120" w:type="dxa"/>
            <w:tcBorders>
              <w:top w:val="single" w:sz="4" w:space="0" w:color="auto"/>
              <w:left w:val="single" w:sz="4" w:space="0" w:color="auto"/>
              <w:bottom w:val="single" w:sz="4" w:space="0" w:color="auto"/>
              <w:right w:val="single" w:sz="4" w:space="0" w:color="auto"/>
            </w:tcBorders>
          </w:tcPr>
          <w:p w:rsidR="0014030B">
            <w:pPr>
              <w:widowControl/>
              <w:adjustRightInd w:val="0"/>
              <w:snapToGrid w:val="0"/>
              <w:spacing w:line="420" w:lineRule="exact"/>
              <w:ind w:firstLine="480" w:firstLineChars="200"/>
              <w:jc w:val="left"/>
              <w:rPr>
                <w:rFonts w:ascii="仿宋" w:eastAsia="仿宋" w:hAnsi="仿宋" w:cs="仿宋"/>
                <w:color w:val="404040"/>
                <w:kern w:val="0"/>
                <w:sz w:val="24"/>
              </w:rPr>
            </w:pPr>
            <w:r>
              <w:rPr>
                <w:rFonts w:ascii="仿宋" w:eastAsia="仿宋" w:hAnsi="仿宋" w:cs="仿宋" w:hint="eastAsia"/>
                <w:color w:val="404040"/>
                <w:kern w:val="0"/>
                <w:sz w:val="24"/>
              </w:rPr>
              <w:t>产品管理人承诺以诚实信用、勤勉尽责的原则管理和运用产品资产，并如实反映产品财务指标及投资组合情况，但不保证产品一定盈利。</w:t>
            </w:r>
          </w:p>
          <w:p w:rsidR="0014030B">
            <w:pPr>
              <w:widowControl/>
              <w:adjustRightInd w:val="0"/>
              <w:snapToGrid w:val="0"/>
              <w:spacing w:line="420" w:lineRule="exact"/>
              <w:ind w:firstLine="480" w:firstLineChars="200"/>
              <w:jc w:val="left"/>
              <w:rPr>
                <w:rFonts w:ascii="仿宋" w:eastAsia="仿宋" w:hAnsi="仿宋" w:cs="仿宋"/>
                <w:color w:val="404040"/>
                <w:kern w:val="0"/>
                <w:sz w:val="24"/>
              </w:rPr>
            </w:pPr>
            <w:r>
              <w:rPr>
                <w:rFonts w:ascii="仿宋" w:eastAsia="仿宋" w:hAnsi="仿宋" w:cs="仿宋" w:hint="eastAsia"/>
                <w:color w:val="404040"/>
                <w:kern w:val="0"/>
                <w:sz w:val="24"/>
              </w:rPr>
              <w:t>产品托管人根据本</w:t>
            </w:r>
            <w:r>
              <w:rPr>
                <w:rFonts w:ascii="仿宋" w:eastAsia="仿宋" w:hAnsi="仿宋" w:cs="仿宋" w:hint="eastAsia"/>
                <w:color w:val="000000"/>
                <w:sz w:val="24"/>
              </w:rPr>
              <w:t>产品</w:t>
            </w:r>
            <w:r>
              <w:rPr>
                <w:rFonts w:ascii="仿宋" w:eastAsia="仿宋" w:hAnsi="仿宋" w:cs="仿宋" w:hint="eastAsia"/>
                <w:color w:val="404040"/>
                <w:kern w:val="0"/>
                <w:sz w:val="24"/>
              </w:rPr>
              <w:t>合同规定，于</w:t>
            </w:r>
            <w:r>
              <w:rPr>
                <w:rFonts w:ascii="仿宋" w:eastAsia="仿宋" w:hAnsi="仿宋" w:cs="仿宋"/>
                <w:color w:val="404040"/>
                <w:sz w:val="24"/>
              </w:rPr>
              <w:t>2025年3月31日</w:t>
            </w:r>
            <w:r>
              <w:rPr>
                <w:rFonts w:ascii="仿宋" w:eastAsia="仿宋" w:hAnsi="仿宋" w:cs="仿宋" w:hint="eastAsia"/>
                <w:color w:val="404040"/>
                <w:kern w:val="0"/>
                <w:sz w:val="24"/>
              </w:rPr>
              <w:t>复核了本报告中的财务指标、净值表现和投资组合报告等内容，保证复核内容不存在虚假记载、误导性陈述或者重大遗漏。</w:t>
            </w:r>
          </w:p>
          <w:p w:rsidR="0014030B">
            <w:pPr>
              <w:widowControl/>
              <w:adjustRightInd w:val="0"/>
              <w:snapToGrid w:val="0"/>
              <w:spacing w:line="420" w:lineRule="exact"/>
              <w:ind w:firstLine="480" w:firstLineChars="200"/>
              <w:jc w:val="left"/>
              <w:rPr>
                <w:rFonts w:ascii="仿宋" w:eastAsia="仿宋" w:hAnsi="仿宋" w:cs="仿宋"/>
                <w:color w:val="404040"/>
                <w:kern w:val="0"/>
                <w:sz w:val="24"/>
              </w:rPr>
            </w:pPr>
            <w:r>
              <w:rPr>
                <w:rFonts w:ascii="仿宋" w:eastAsia="仿宋" w:hAnsi="仿宋" w:cs="仿宋" w:hint="eastAsia"/>
                <w:color w:val="404040"/>
                <w:kern w:val="0"/>
                <w:sz w:val="24"/>
              </w:rPr>
              <w:t>产品的过往业绩并不代表其未来表现。投资有风险，投资者在</w:t>
            </w:r>
            <w:r>
              <w:rPr>
                <w:rFonts w:ascii="仿宋" w:eastAsia="仿宋" w:hAnsi="仿宋" w:cs="仿宋" w:hint="eastAsia"/>
                <w:color w:val="404040"/>
                <w:kern w:val="0"/>
                <w:sz w:val="24"/>
              </w:rPr>
              <w:t>作出</w:t>
            </w:r>
            <w:r>
              <w:rPr>
                <w:rFonts w:ascii="仿宋" w:eastAsia="仿宋" w:hAnsi="仿宋" w:cs="仿宋" w:hint="eastAsia"/>
                <w:color w:val="404040"/>
                <w:kern w:val="0"/>
                <w:sz w:val="24"/>
              </w:rPr>
              <w:t>投资决策前应仔细阅读本</w:t>
            </w:r>
            <w:r>
              <w:rPr>
                <w:rFonts w:ascii="仿宋" w:eastAsia="仿宋" w:hAnsi="仿宋" w:cs="仿宋" w:hint="eastAsia"/>
                <w:color w:val="000000"/>
                <w:sz w:val="24"/>
              </w:rPr>
              <w:t>产品</w:t>
            </w:r>
            <w:r>
              <w:rPr>
                <w:rFonts w:ascii="仿宋" w:eastAsia="仿宋" w:hAnsi="仿宋" w:cs="仿宋" w:hint="eastAsia"/>
                <w:color w:val="404040"/>
                <w:kern w:val="0"/>
                <w:sz w:val="24"/>
              </w:rPr>
              <w:t>的产品说明书。</w:t>
            </w:r>
          </w:p>
          <w:p w:rsidR="0014030B">
            <w:pPr>
              <w:widowControl/>
              <w:adjustRightInd w:val="0"/>
              <w:snapToGrid w:val="0"/>
              <w:spacing w:line="420" w:lineRule="exact"/>
              <w:ind w:firstLine="480" w:firstLineChars="200"/>
              <w:jc w:val="left"/>
              <w:rPr>
                <w:rFonts w:ascii="仿宋" w:eastAsia="仿宋" w:hAnsi="仿宋" w:cs="仿宋"/>
                <w:color w:val="404040"/>
                <w:kern w:val="0"/>
                <w:sz w:val="24"/>
              </w:rPr>
            </w:pPr>
            <w:r>
              <w:rPr>
                <w:rFonts w:ascii="仿宋" w:eastAsia="仿宋" w:hAnsi="仿宋" w:cs="仿宋" w:hint="eastAsia"/>
                <w:color w:val="404040"/>
                <w:kern w:val="0"/>
                <w:sz w:val="24"/>
              </w:rPr>
              <w:t>本报告中财务资料未经审计。</w:t>
            </w:r>
          </w:p>
          <w:p w:rsidR="0014030B">
            <w:pPr>
              <w:widowControl/>
              <w:adjustRightInd w:val="0"/>
              <w:snapToGrid w:val="0"/>
              <w:spacing w:line="420" w:lineRule="exact"/>
              <w:ind w:firstLine="480" w:firstLineChars="200"/>
              <w:jc w:val="left"/>
              <w:rPr>
                <w:rFonts w:ascii="仿宋" w:eastAsia="仿宋" w:hAnsi="仿宋" w:cs="仿宋"/>
                <w:sz w:val="24"/>
              </w:rPr>
            </w:pPr>
            <w:r>
              <w:rPr>
                <w:rFonts w:ascii="仿宋" w:eastAsia="仿宋" w:hAnsi="仿宋" w:cs="仿宋" w:hint="eastAsia"/>
                <w:color w:val="404040"/>
                <w:kern w:val="0"/>
                <w:sz w:val="24"/>
              </w:rPr>
              <w:t>本报告期自</w:t>
            </w:r>
            <w:r>
              <w:rPr>
                <w:rFonts w:ascii="仿宋" w:eastAsia="仿宋" w:hAnsi="仿宋" w:cs="仿宋"/>
                <w:color w:val="404040"/>
                <w:sz w:val="24"/>
              </w:rPr>
              <w:t>2025年1月1日</w:t>
            </w:r>
            <w:r>
              <w:rPr>
                <w:rFonts w:ascii="仿宋" w:eastAsia="仿宋" w:hAnsi="仿宋" w:cs="仿宋" w:hint="eastAsia"/>
                <w:color w:val="404040"/>
                <w:kern w:val="0"/>
                <w:sz w:val="24"/>
              </w:rPr>
              <w:t>起至</w:t>
            </w:r>
            <w:r>
              <w:rPr>
                <w:rFonts w:ascii="仿宋" w:eastAsia="仿宋" w:hAnsi="仿宋" w:cs="仿宋"/>
                <w:color w:val="404040"/>
                <w:sz w:val="24"/>
              </w:rPr>
              <w:t>2025年3月31日</w:t>
            </w:r>
            <w:r>
              <w:rPr>
                <w:rFonts w:ascii="仿宋" w:eastAsia="仿宋" w:hAnsi="仿宋" w:cs="仿宋" w:hint="eastAsia"/>
                <w:color w:val="404040"/>
                <w:kern w:val="0"/>
                <w:sz w:val="24"/>
              </w:rPr>
              <w:t>止。</w:t>
            </w:r>
          </w:p>
        </w:tc>
      </w:tr>
    </w:tbl>
    <w:p w:rsidR="0014030B">
      <w:pPr>
        <w:rPr>
          <w:rStyle w:val="a1"/>
          <w:rFonts w:ascii="仿宋" w:eastAsia="仿宋" w:hAnsi="仿宋" w:cs="仿宋"/>
          <w:color w:val="0000FF"/>
          <w:sz w:val="24"/>
        </w:rPr>
      </w:pPr>
    </w:p>
    <w:p w:rsidR="0014030B">
      <w:pPr>
        <w:pStyle w:val="Heading2"/>
        <w:adjustRightInd w:val="0"/>
        <w:snapToGrid w:val="0"/>
        <w:spacing w:line="560" w:lineRule="exact"/>
        <w:jc w:val="center"/>
        <w:rPr>
          <w:rFonts w:ascii="仿宋" w:eastAsia="仿宋" w:hAnsi="仿宋" w:cs="仿宋"/>
          <w:sz w:val="24"/>
        </w:rPr>
      </w:pPr>
      <w:bookmarkStart w:id="1" w:name="_Toc67575498"/>
      <w:r>
        <w:rPr>
          <w:rFonts w:ascii="仿宋" w:eastAsia="仿宋" w:hAnsi="仿宋" w:cs="仿宋" w:hint="eastAsia"/>
          <w:sz w:val="24"/>
        </w:rPr>
        <w:t>§2  产品概况</w:t>
      </w:r>
      <w:bookmarkEnd w:id="1"/>
    </w:p>
    <w:p w:rsidR="0014030B">
      <w:pPr>
        <w:adjustRightInd w:val="0"/>
        <w:snapToGrid w:val="0"/>
        <w:spacing w:line="440" w:lineRule="exact"/>
        <w:outlineLvl w:val="2"/>
        <w:rPr>
          <w:rFonts w:ascii="仿宋" w:eastAsia="仿宋" w:hAnsi="仿宋" w:cs="仿宋"/>
          <w:b/>
          <w:sz w:val="24"/>
        </w:rPr>
      </w:pPr>
      <w:bookmarkStart w:id="2" w:name="_Toc1870029270"/>
      <w:bookmarkStart w:id="3" w:name="_Toc354129567"/>
      <w:r>
        <w:rPr>
          <w:rFonts w:ascii="仿宋" w:eastAsia="仿宋" w:hAnsi="仿宋" w:cs="仿宋" w:hint="eastAsia"/>
          <w:b/>
          <w:sz w:val="24"/>
        </w:rPr>
        <w:t>2.1 产品基本情况</w:t>
      </w:r>
      <w:bookmarkEnd w:id="2"/>
      <w:bookmarkEnd w:id="3"/>
    </w:p>
    <w:tbl>
      <w:tblPr>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55"/>
        <w:gridCol w:w="5784"/>
      </w:tblGrid>
      <w:tr>
        <w:tblPrEx>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产品名称</w:t>
            </w:r>
          </w:p>
        </w:tc>
        <w:tc>
          <w:tcPr>
            <w:tcW w:w="578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幸福99添益(安享优选)90天持有期理财</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产品代码</w:t>
            </w:r>
          </w:p>
        </w:tc>
        <w:tc>
          <w:tcPr>
            <w:tcW w:w="578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TYGC90D2403</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理财信息登记系统登记编码</w:t>
            </w:r>
          </w:p>
        </w:tc>
        <w:tc>
          <w:tcPr>
            <w:tcW w:w="578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Z7002224000027</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sz w:val="24"/>
              </w:rPr>
            </w:pPr>
            <w:r>
              <w:rPr>
                <w:rFonts w:ascii="仿宋" w:eastAsia="仿宋" w:hAnsi="仿宋" w:cs="仿宋" w:hint="eastAsia"/>
                <w:kern w:val="0"/>
                <w:sz w:val="24"/>
              </w:rPr>
              <w:t>产品成立日</w:t>
            </w:r>
          </w:p>
        </w:tc>
        <w:tc>
          <w:tcPr>
            <w:tcW w:w="578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2024年1月23日</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产品到期日</w:t>
            </w:r>
          </w:p>
        </w:tc>
        <w:tc>
          <w:tcPr>
            <w:tcW w:w="578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产品募集方式</w:t>
            </w:r>
          </w:p>
        </w:tc>
        <w:tc>
          <w:tcPr>
            <w:tcW w:w="578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公募</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产品运作模式</w:t>
            </w:r>
          </w:p>
        </w:tc>
        <w:tc>
          <w:tcPr>
            <w:tcW w:w="578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开放式净值型</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产品投资性质</w:t>
            </w:r>
          </w:p>
        </w:tc>
        <w:tc>
          <w:tcPr>
            <w:tcW w:w="578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固定收益类</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业绩比较基准（%）</w:t>
            </w:r>
          </w:p>
        </w:tc>
        <w:tc>
          <w:tcPr>
            <w:tcW w:w="578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1.95-2.85</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sz w:val="24"/>
              </w:rPr>
            </w:pPr>
            <w:r>
              <w:rPr>
                <w:rFonts w:ascii="仿宋" w:eastAsia="仿宋" w:hAnsi="仿宋" w:cs="仿宋" w:hint="eastAsia"/>
                <w:kern w:val="0"/>
                <w:sz w:val="24"/>
              </w:rPr>
              <w:t>报告期末产品规模（</w:t>
            </w:r>
            <w:r w:rsidR="002511E7">
              <w:rPr>
                <w:rFonts w:ascii="仿宋" w:eastAsia="仿宋" w:hAnsi="仿宋" w:cs="仿宋" w:hint="eastAsia"/>
                <w:sz w:val="24"/>
              </w:rPr>
              <w:t>元</w:t>
            </w:r>
            <w:r>
              <w:rPr>
                <w:rFonts w:ascii="仿宋" w:eastAsia="仿宋" w:hAnsi="仿宋" w:cs="仿宋" w:hint="eastAsia"/>
                <w:kern w:val="0"/>
                <w:sz w:val="24"/>
              </w:rPr>
              <w:t>）</w:t>
            </w:r>
          </w:p>
        </w:tc>
        <w:tc>
          <w:tcPr>
            <w:tcW w:w="578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8,178,708,372.93</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sz w:val="24"/>
              </w:rPr>
            </w:pPr>
            <w:r>
              <w:rPr>
                <w:rFonts w:ascii="仿宋" w:eastAsia="仿宋" w:hAnsi="仿宋" w:cs="仿宋" w:hint="eastAsia"/>
                <w:kern w:val="0"/>
                <w:sz w:val="24"/>
              </w:rPr>
              <w:t>杠杆水平（%）</w:t>
            </w:r>
          </w:p>
        </w:tc>
        <w:tc>
          <w:tcPr>
            <w:tcW w:w="578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104.39</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风险等级</w:t>
            </w:r>
          </w:p>
        </w:tc>
        <w:tc>
          <w:tcPr>
            <w:tcW w:w="578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二级（中低）</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sz w:val="24"/>
              </w:rPr>
            </w:pPr>
            <w:r>
              <w:rPr>
                <w:rFonts w:ascii="仿宋" w:eastAsia="仿宋" w:hAnsi="仿宋" w:cs="仿宋" w:hint="eastAsia"/>
                <w:kern w:val="0"/>
                <w:sz w:val="24"/>
              </w:rPr>
              <w:t>产品管理人</w:t>
            </w:r>
          </w:p>
        </w:tc>
        <w:tc>
          <w:tcPr>
            <w:tcW w:w="578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杭银理财有限责任公司</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sz w:val="24"/>
              </w:rPr>
            </w:pPr>
            <w:r>
              <w:rPr>
                <w:rFonts w:ascii="仿宋" w:eastAsia="仿宋" w:hAnsi="仿宋" w:cs="仿宋" w:hint="eastAsia"/>
                <w:kern w:val="0"/>
                <w:sz w:val="24"/>
              </w:rPr>
              <w:t>产品托管人</w:t>
            </w:r>
          </w:p>
        </w:tc>
        <w:tc>
          <w:tcPr>
            <w:tcW w:w="578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left"/>
              <w:rPr>
                <w:rFonts w:ascii="仿宋" w:eastAsia="仿宋" w:hAnsi="仿宋" w:cs="仿宋"/>
                <w:kern w:val="0"/>
                <w:sz w:val="24"/>
              </w:rPr>
            </w:pPr>
            <w:r>
              <w:rPr>
                <w:rFonts w:ascii="仿宋" w:eastAsia="仿宋" w:hAnsi="仿宋" w:cs="仿宋" w:hint="eastAsia"/>
                <w:kern w:val="0"/>
                <w:sz w:val="24"/>
              </w:rPr>
              <w:t>杭州银行股份有限公司</w:t>
            </w:r>
          </w:p>
        </w:tc>
      </w:tr>
    </w:tbl>
    <w:p w:rsidR="0014030B">
      <w:pPr>
        <w:adjustRightInd w:val="0"/>
        <w:snapToGrid w:val="0"/>
        <w:spacing w:line="360" w:lineRule="exact"/>
        <w:rPr>
          <w:rFonts w:ascii="仿宋" w:eastAsia="仿宋" w:hAnsi="仿宋" w:cs="仿宋"/>
          <w:sz w:val="24"/>
        </w:rPr>
      </w:pPr>
      <w:r>
        <w:rPr>
          <w:rFonts w:ascii="仿宋" w:eastAsia="仿宋" w:hAnsi="仿宋" w:cs="仿宋" w:hint="eastAsia"/>
          <w:sz w:val="24"/>
        </w:rPr>
        <w:t>*杠杆水平=总资产/理财产品净资产，理财产品净资产=总资产-总负债</w:t>
      </w:r>
    </w:p>
    <w:p w:rsidR="0014030B">
      <w:pPr>
        <w:adjustRightInd w:val="0"/>
        <w:snapToGrid w:val="0"/>
        <w:spacing w:line="360" w:lineRule="exact"/>
        <w:rPr>
          <w:rFonts w:ascii="仿宋" w:eastAsia="仿宋" w:hAnsi="仿宋" w:cs="仿宋"/>
          <w:color w:val="000000"/>
          <w:sz w:val="24"/>
        </w:rPr>
      </w:pPr>
    </w:p>
    <w:p w:rsidR="0014030B">
      <w:pPr>
        <w:pStyle w:val="Heading2"/>
        <w:adjustRightInd w:val="0"/>
        <w:snapToGrid w:val="0"/>
        <w:spacing w:line="560" w:lineRule="exact"/>
        <w:jc w:val="center"/>
        <w:rPr>
          <w:rFonts w:ascii="仿宋" w:eastAsia="仿宋" w:hAnsi="仿宋" w:cs="仿宋"/>
          <w:sz w:val="24"/>
        </w:rPr>
      </w:pPr>
      <w:bookmarkStart w:id="4" w:name="_Toc1158767045"/>
      <w:r>
        <w:rPr>
          <w:rFonts w:ascii="仿宋" w:eastAsia="仿宋" w:hAnsi="仿宋" w:cs="仿宋" w:hint="eastAsia"/>
          <w:sz w:val="24"/>
        </w:rPr>
        <w:t>§3  主要财务指标和产品净值表现</w:t>
      </w:r>
      <w:bookmarkEnd w:id="4"/>
    </w:p>
    <w:p w:rsidR="0014030B">
      <w:pPr>
        <w:adjustRightInd w:val="0"/>
        <w:snapToGrid w:val="0"/>
        <w:spacing w:line="440" w:lineRule="exact"/>
        <w:outlineLvl w:val="2"/>
        <w:rPr>
          <w:rFonts w:ascii="仿宋" w:eastAsia="仿宋" w:hAnsi="仿宋" w:cs="仿宋"/>
          <w:b/>
          <w:sz w:val="24"/>
        </w:rPr>
      </w:pPr>
      <w:bookmarkStart w:id="5" w:name="_Toc2016014319"/>
      <w:r>
        <w:rPr>
          <w:rFonts w:ascii="仿宋" w:eastAsia="仿宋" w:hAnsi="仿宋" w:cs="仿宋" w:hint="eastAsia"/>
          <w:b/>
          <w:sz w:val="24"/>
        </w:rPr>
        <w:t>3.1 主要财务指标和产品净值表现</w:t>
      </w:r>
      <w:bookmarkEnd w:id="5"/>
    </w:p>
    <w:p w:rsidR="0014030B">
      <w:pPr>
        <w:adjustRightInd w:val="0"/>
        <w:snapToGrid w:val="0"/>
        <w:spacing w:line="440" w:lineRule="exact"/>
        <w:jc w:val="right"/>
        <w:rPr>
          <w:rFonts w:ascii="仿宋" w:eastAsia="仿宋" w:hAnsi="仿宋" w:cs="仿宋"/>
          <w:sz w:val="24"/>
        </w:rPr>
      </w:pPr>
      <w:r>
        <w:rPr>
          <w:rFonts w:ascii="仿宋" w:eastAsia="仿宋" w:hAnsi="仿宋" w:cs="仿宋" w:hint="eastAsia"/>
          <w:sz w:val="24"/>
        </w:rPr>
        <w:t>单位：</w:t>
      </w:r>
      <w:r>
        <w:rPr>
          <w:rFonts w:ascii="仿宋" w:eastAsia="仿宋" w:hAnsi="仿宋" w:cs="仿宋"/>
          <w:sz w:val="24"/>
        </w:rPr>
        <w:t>元</w:t>
      </w:r>
      <w:r>
        <w:rPr>
          <w:rFonts w:ascii="仿宋" w:eastAsia="仿宋" w:hAnsi="仿宋" w:cs="仿宋"/>
          <w:sz w:val="24"/>
        </w:rPr>
        <w:t>、份、</w:t>
      </w:r>
      <w:r>
        <w:rPr>
          <w:rFonts w:ascii="仿宋" w:eastAsia="仿宋" w:hAnsi="仿宋" w:cs="仿宋"/>
          <w:sz w:val="24"/>
        </w:rPr>
        <w:t>元</w:t>
      </w:r>
      <w:r>
        <w:rPr>
          <w:rFonts w:ascii="仿宋" w:eastAsia="仿宋" w:hAnsi="仿宋" w:cs="仿宋"/>
          <w:sz w:val="24"/>
        </w:rPr>
        <w:t>/份</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5"/>
        <w:gridCol w:w="1418"/>
        <w:gridCol w:w="585"/>
        <w:gridCol w:w="407"/>
        <w:gridCol w:w="992"/>
        <w:gridCol w:w="3321"/>
      </w:tblGrid>
      <w:tr>
        <w:tblPrEx>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color w:val="000000"/>
                <w:kern w:val="0"/>
                <w:sz w:val="24"/>
              </w:rPr>
            </w:pPr>
            <w:r>
              <w:rPr>
                <w:rFonts w:ascii="仿宋" w:eastAsia="仿宋" w:hAnsi="仿宋" w:cs="仿宋" w:hint="eastAsia"/>
                <w:sz w:val="24"/>
              </w:rPr>
              <w:t>主要财务指标</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color w:val="000000"/>
                <w:kern w:val="0"/>
                <w:sz w:val="24"/>
              </w:rPr>
            </w:pPr>
            <w:r>
              <w:rPr>
                <w:rFonts w:ascii="仿宋" w:eastAsia="仿宋" w:hAnsi="仿宋" w:cs="仿宋" w:hint="eastAsia"/>
                <w:color w:val="000000"/>
                <w:kern w:val="0"/>
                <w:sz w:val="24"/>
              </w:rPr>
              <w:t>报告期</w:t>
            </w:r>
          </w:p>
          <w:p w:rsidR="0014030B">
            <w:pPr>
              <w:widowControl/>
              <w:adjustRightInd w:val="0"/>
              <w:snapToGrid w:val="0"/>
              <w:jc w:val="center"/>
              <w:rPr>
                <w:rFonts w:ascii="仿宋" w:eastAsia="仿宋" w:hAnsi="仿宋" w:cs="仿宋"/>
                <w:color w:val="000000"/>
                <w:kern w:val="0"/>
                <w:sz w:val="24"/>
              </w:rPr>
            </w:pPr>
            <w:r>
              <w:rPr>
                <w:rFonts w:ascii="仿宋" w:eastAsia="仿宋" w:hAnsi="仿宋" w:cs="仿宋" w:hint="eastAsia"/>
                <w:color w:val="000000"/>
                <w:kern w:val="0"/>
                <w:sz w:val="24"/>
              </w:rPr>
              <w:t>（</w:t>
            </w:r>
            <w:r>
              <w:rPr>
                <w:rFonts w:ascii="仿宋" w:eastAsia="仿宋" w:hAnsi="仿宋" w:cs="仿宋"/>
                <w:color w:val="000000"/>
                <w:sz w:val="24"/>
              </w:rPr>
              <w:t>2025年1月1日</w:t>
            </w:r>
            <w:r>
              <w:rPr>
                <w:rFonts w:ascii="仿宋" w:eastAsia="仿宋" w:hAnsi="仿宋" w:cs="仿宋" w:hint="eastAsia"/>
                <w:color w:val="000000"/>
                <w:kern w:val="0"/>
                <w:sz w:val="24"/>
              </w:rPr>
              <w:t>-</w:t>
            </w:r>
            <w:r>
              <w:rPr>
                <w:rFonts w:ascii="仿宋" w:eastAsia="仿宋" w:hAnsi="仿宋" w:cs="仿宋"/>
                <w:color w:val="000000"/>
                <w:sz w:val="24"/>
              </w:rPr>
              <w:t>2025年3月31日</w:t>
            </w:r>
            <w:r>
              <w:rPr>
                <w:rFonts w:ascii="仿宋" w:eastAsia="仿宋" w:hAnsi="仿宋" w:cs="仿宋" w:hint="eastAsia"/>
                <w:color w:val="000000"/>
                <w:kern w:val="0"/>
                <w:sz w:val="24"/>
              </w:rPr>
              <w:t>）</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rPr>
                <w:rStyle w:val="a1"/>
                <w:rFonts w:ascii="仿宋" w:eastAsia="仿宋" w:hAnsi="仿宋" w:cs="仿宋"/>
                <w:sz w:val="24"/>
              </w:rPr>
            </w:pPr>
            <w:r>
              <w:rPr>
                <w:rFonts w:ascii="仿宋" w:eastAsia="仿宋" w:hAnsi="仿宋" w:cs="仿宋" w:hint="eastAsia"/>
                <w:sz w:val="24"/>
              </w:rPr>
              <w:t>1.期末产品资产净值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right"/>
              <w:rPr>
                <w:rFonts w:ascii="仿宋" w:eastAsia="仿宋" w:hAnsi="仿宋" w:cs="仿宋"/>
                <w:sz w:val="24"/>
              </w:rPr>
            </w:pPr>
            <w:r>
              <w:rPr>
                <w:rFonts w:ascii="仿宋" w:eastAsia="仿宋" w:hAnsi="仿宋" w:cs="仿宋" w:hint="eastAsia"/>
                <w:kern w:val="0"/>
                <w:sz w:val="24"/>
              </w:rPr>
              <w:t>8,178,708,372.93</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rPr>
                <w:rFonts w:ascii="仿宋" w:eastAsia="仿宋" w:hAnsi="仿宋" w:cs="仿宋"/>
                <w:sz w:val="24"/>
              </w:rPr>
            </w:pPr>
            <w:r>
              <w:rPr>
                <w:rFonts w:ascii="仿宋" w:eastAsia="仿宋" w:hAnsi="仿宋" w:cs="仿宋" w:hint="eastAsia"/>
                <w:sz w:val="24"/>
              </w:rPr>
              <w:t>2.期末产品总份额</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right"/>
              <w:rPr>
                <w:rFonts w:ascii="仿宋" w:eastAsia="仿宋" w:hAnsi="仿宋" w:cs="仿宋"/>
                <w:kern w:val="0"/>
                <w:sz w:val="24"/>
              </w:rPr>
            </w:pPr>
            <w:r>
              <w:rPr>
                <w:rFonts w:ascii="仿宋" w:eastAsia="仿宋" w:hAnsi="仿宋" w:cs="仿宋" w:hint="eastAsia"/>
                <w:kern w:val="0"/>
                <w:sz w:val="24"/>
              </w:rPr>
              <w:t>7,927,638,534.80</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rPr>
                <w:rStyle w:val="a1"/>
                <w:rFonts w:ascii="仿宋" w:eastAsia="仿宋" w:hAnsi="仿宋" w:cs="仿宋"/>
                <w:sz w:val="24"/>
              </w:rPr>
            </w:pPr>
            <w:r>
              <w:rPr>
                <w:rFonts w:ascii="仿宋" w:eastAsia="仿宋" w:hAnsi="仿宋" w:cs="仿宋" w:hint="eastAsia"/>
                <w:sz w:val="24"/>
              </w:rPr>
              <w:t>3.期末产品份额单位净值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right"/>
              <w:rPr>
                <w:rFonts w:ascii="仿宋" w:eastAsia="仿宋" w:hAnsi="仿宋" w:cs="仿宋"/>
                <w:sz w:val="24"/>
              </w:rPr>
            </w:pPr>
            <w:r>
              <w:rPr>
                <w:rFonts w:ascii="仿宋" w:eastAsia="仿宋" w:hAnsi="仿宋" w:cs="仿宋" w:hint="eastAsia"/>
                <w:kern w:val="0"/>
                <w:sz w:val="24"/>
              </w:rPr>
              <w:t>1.031670</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rPr>
                <w:rStyle w:val="a1"/>
                <w:rFonts w:ascii="仿宋" w:eastAsia="仿宋" w:hAnsi="仿宋" w:cs="仿宋"/>
                <w:sz w:val="24"/>
              </w:rPr>
            </w:pPr>
            <w:r>
              <w:rPr>
                <w:rFonts w:ascii="仿宋" w:eastAsia="仿宋" w:hAnsi="仿宋" w:cs="仿宋" w:hint="eastAsia"/>
                <w:sz w:val="24"/>
              </w:rPr>
              <w:t>4.期末产品份额累计净值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right"/>
              <w:rPr>
                <w:rFonts w:ascii="仿宋" w:eastAsia="仿宋" w:hAnsi="仿宋" w:cs="仿宋"/>
                <w:sz w:val="24"/>
              </w:rPr>
            </w:pPr>
            <w:r>
              <w:rPr>
                <w:rFonts w:ascii="仿宋" w:eastAsia="仿宋" w:hAnsi="仿宋" w:cs="仿宋" w:hint="eastAsia"/>
                <w:kern w:val="0"/>
                <w:sz w:val="24"/>
              </w:rPr>
              <w:t>1.031670</w:t>
            </w:r>
          </w:p>
        </w:tc>
      </w:tr>
      <w:tr>
        <w:tblPrEx>
          <w:tblW w:w="9128" w:type="dxa"/>
          <w:tblLayout w:type="fixed"/>
          <w:tblLook w:val="04A0"/>
        </w:tblPrEx>
        <w:trPr>
          <w:trHeight w:val="23"/>
        </w:trPr>
        <w:tc>
          <w:tcPr>
            <w:tcW w:w="9128" w:type="dxa"/>
            <w:gridSpan w:val="6"/>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color w:val="0000FF"/>
                <w:sz w:val="24"/>
              </w:rPr>
            </w:pPr>
            <w:r>
              <w:rPr>
                <w:rFonts w:ascii="仿宋" w:eastAsia="仿宋" w:hAnsi="仿宋" w:cs="仿宋" w:hint="eastAsia"/>
                <w:kern w:val="0"/>
                <w:sz w:val="24"/>
              </w:rPr>
              <w:t>报告期末下属子产品相关信息披露</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子产品名称</w:t>
            </w:r>
          </w:p>
        </w:tc>
        <w:tc>
          <w:tcPr>
            <w:tcW w:w="1418"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kern w:val="0"/>
                <w:sz w:val="24"/>
              </w:rPr>
            </w:pPr>
            <w:r>
              <w:rPr>
                <w:rFonts w:ascii="仿宋" w:eastAsia="仿宋" w:hAnsi="仿宋" w:cs="仿宋" w:hint="eastAsia"/>
                <w:kern w:val="0"/>
                <w:sz w:val="24"/>
              </w:rPr>
              <w:t>子产品代码</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kern w:val="0"/>
                <w:sz w:val="24"/>
              </w:rPr>
            </w:pPr>
            <w:r>
              <w:rPr>
                <w:rFonts w:ascii="仿宋" w:eastAsia="仿宋" w:hAnsi="仿宋" w:cs="仿宋" w:hint="eastAsia"/>
                <w:kern w:val="0"/>
                <w:sz w:val="24"/>
              </w:rPr>
              <w:t>份额</w:t>
            </w:r>
          </w:p>
          <w:p w:rsidR="0014030B">
            <w:pPr>
              <w:widowControl/>
              <w:adjustRightInd w:val="0"/>
              <w:snapToGrid w:val="0"/>
              <w:jc w:val="center"/>
              <w:rPr>
                <w:rFonts w:ascii="仿宋" w:eastAsia="仿宋" w:hAnsi="仿宋" w:cs="仿宋"/>
                <w:kern w:val="0"/>
                <w:sz w:val="24"/>
              </w:rPr>
            </w:pPr>
            <w:r>
              <w:rPr>
                <w:rFonts w:ascii="仿宋" w:eastAsia="仿宋" w:hAnsi="仿宋" w:cs="仿宋" w:hint="eastAsia"/>
                <w:kern w:val="0"/>
                <w:sz w:val="24"/>
              </w:rPr>
              <w:t>净值</w:t>
            </w:r>
          </w:p>
        </w:tc>
        <w:tc>
          <w:tcPr>
            <w:tcW w:w="992"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kern w:val="0"/>
                <w:sz w:val="24"/>
              </w:rPr>
            </w:pPr>
            <w:r>
              <w:rPr>
                <w:rFonts w:ascii="仿宋" w:eastAsia="仿宋" w:hAnsi="仿宋" w:cs="仿宋" w:hint="eastAsia"/>
                <w:kern w:val="0"/>
                <w:sz w:val="24"/>
              </w:rPr>
              <w:t>份额累计净值</w:t>
            </w:r>
          </w:p>
        </w:tc>
        <w:tc>
          <w:tcPr>
            <w:tcW w:w="3321"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kern w:val="0"/>
                <w:sz w:val="24"/>
              </w:rPr>
            </w:pPr>
            <w:r>
              <w:rPr>
                <w:rFonts w:ascii="仿宋" w:eastAsia="仿宋" w:hAnsi="仿宋" w:cs="仿宋" w:hint="eastAsia"/>
                <w:kern w:val="0"/>
                <w:sz w:val="24"/>
              </w:rPr>
              <w:t>资产净值</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添益90天持有期A款</w:t>
            </w:r>
          </w:p>
        </w:tc>
        <w:tc>
          <w:tcPr>
            <w:tcW w:w="1418"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TYGC90D2403A</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1.031562</w:t>
            </w:r>
          </w:p>
        </w:tc>
        <w:tc>
          <w:tcPr>
            <w:tcW w:w="992"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1.031562</w:t>
            </w:r>
          </w:p>
        </w:tc>
        <w:tc>
          <w:tcPr>
            <w:tcW w:w="3321"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3,992,633,782.06</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添益90天持有期B款</w:t>
            </w:r>
          </w:p>
        </w:tc>
        <w:tc>
          <w:tcPr>
            <w:tcW w:w="1418"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TYGC90D2403B</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1.032247</w:t>
            </w:r>
          </w:p>
        </w:tc>
        <w:tc>
          <w:tcPr>
            <w:tcW w:w="992"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1.032247</w:t>
            </w:r>
          </w:p>
        </w:tc>
        <w:tc>
          <w:tcPr>
            <w:tcW w:w="3321"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1,850,005,347.59</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添益90天持有期C款</w:t>
            </w:r>
          </w:p>
        </w:tc>
        <w:tc>
          <w:tcPr>
            <w:tcW w:w="1418"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TYGC90D2403C</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1.030719</w:t>
            </w:r>
          </w:p>
        </w:tc>
        <w:tc>
          <w:tcPr>
            <w:tcW w:w="992"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1.030719</w:t>
            </w:r>
          </w:p>
        </w:tc>
        <w:tc>
          <w:tcPr>
            <w:tcW w:w="3321"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1,286,486,753.28</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添益90天持有期D款</w:t>
            </w:r>
          </w:p>
        </w:tc>
        <w:tc>
          <w:tcPr>
            <w:tcW w:w="1418"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TYGC90D2403D</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1.033182</w:t>
            </w:r>
          </w:p>
        </w:tc>
        <w:tc>
          <w:tcPr>
            <w:tcW w:w="992"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1.033182</w:t>
            </w:r>
          </w:p>
        </w:tc>
        <w:tc>
          <w:tcPr>
            <w:tcW w:w="3321"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85,612,462.01</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添益90天持有期E款</w:t>
            </w:r>
          </w:p>
        </w:tc>
        <w:tc>
          <w:tcPr>
            <w:tcW w:w="1418"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TYGC90D2403E</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1.031766</w:t>
            </w:r>
          </w:p>
        </w:tc>
        <w:tc>
          <w:tcPr>
            <w:tcW w:w="992"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1.031766</w:t>
            </w:r>
          </w:p>
        </w:tc>
        <w:tc>
          <w:tcPr>
            <w:tcW w:w="3321"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192,195,357.93</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添益90天持有期F款</w:t>
            </w:r>
          </w:p>
        </w:tc>
        <w:tc>
          <w:tcPr>
            <w:tcW w:w="1418"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TYGC90D2403F</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1.032019</w:t>
            </w:r>
          </w:p>
        </w:tc>
        <w:tc>
          <w:tcPr>
            <w:tcW w:w="992"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1.032019</w:t>
            </w:r>
          </w:p>
        </w:tc>
        <w:tc>
          <w:tcPr>
            <w:tcW w:w="3321"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472,152,661.73</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添益90天持有期G款</w:t>
            </w:r>
          </w:p>
        </w:tc>
        <w:tc>
          <w:tcPr>
            <w:tcW w:w="1418"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TYGC90D2403G</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1.032835</w:t>
            </w:r>
          </w:p>
        </w:tc>
        <w:tc>
          <w:tcPr>
            <w:tcW w:w="992"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1.032835</w:t>
            </w:r>
          </w:p>
        </w:tc>
        <w:tc>
          <w:tcPr>
            <w:tcW w:w="3321"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48,611,818.02</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添益90天持有期H款</w:t>
            </w:r>
          </w:p>
        </w:tc>
        <w:tc>
          <w:tcPr>
            <w:tcW w:w="1418"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TYGC90D2403H</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1.032542</w:t>
            </w:r>
          </w:p>
        </w:tc>
        <w:tc>
          <w:tcPr>
            <w:tcW w:w="992"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1.032542</w:t>
            </w:r>
          </w:p>
        </w:tc>
        <w:tc>
          <w:tcPr>
            <w:tcW w:w="3321" w:type="dxa"/>
            <w:tcBorders>
              <w:top w:val="single" w:sz="4" w:space="0" w:color="auto"/>
              <w:left w:val="single" w:sz="4" w:space="0" w:color="auto"/>
              <w:bottom w:val="single" w:sz="4" w:space="0" w:color="auto"/>
              <w:right w:val="single" w:sz="4" w:space="0" w:color="auto"/>
            </w:tcBorders>
            <w:vAlign w:val="center"/>
          </w:tcPr>
          <w:p w:rsidR="0014030B">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251,010,190.31</w:t>
            </w:r>
          </w:p>
        </w:tc>
      </w:tr>
    </w:tbl>
    <w:p w:rsidR="0014030B">
      <w:pPr>
        <w:adjustRightInd w:val="0"/>
        <w:snapToGrid w:val="0"/>
        <w:spacing w:line="440" w:lineRule="exact"/>
        <w:outlineLvl w:val="2"/>
        <w:rPr>
          <w:rFonts w:ascii="仿宋" w:eastAsia="仿宋" w:hAnsi="仿宋" w:cs="仿宋"/>
          <w:b/>
          <w:sz w:val="24"/>
        </w:rPr>
      </w:pPr>
      <w:bookmarkStart w:id="6" w:name="_Toc155677067"/>
      <w:r>
        <w:rPr>
          <w:rFonts w:ascii="仿宋" w:eastAsia="仿宋" w:hAnsi="仿宋" w:cs="仿宋" w:hint="eastAsia"/>
          <w:b/>
          <w:sz w:val="24"/>
        </w:rPr>
        <w:t>3.</w:t>
      </w:r>
      <w:r>
        <w:rPr>
          <w:rFonts w:ascii="仿宋" w:eastAsia="仿宋" w:hAnsi="仿宋" w:cs="仿宋"/>
          <w:b/>
          <w:sz w:val="24"/>
        </w:rPr>
        <w:t>2</w:t>
      </w:r>
      <w:r>
        <w:rPr>
          <w:rFonts w:ascii="仿宋" w:eastAsia="仿宋" w:hAnsi="仿宋" w:cs="仿宋" w:hint="eastAsia"/>
          <w:b/>
          <w:sz w:val="24"/>
        </w:rPr>
        <w:t xml:space="preserve"> 产品收益表现</w:t>
      </w:r>
      <w:bookmarkEnd w:id="6"/>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6"/>
        <w:gridCol w:w="1355"/>
        <w:gridCol w:w="1235"/>
        <w:gridCol w:w="1315"/>
        <w:gridCol w:w="1212"/>
        <w:gridCol w:w="1800"/>
      </w:tblGrid>
      <w:tr>
        <w:tblPrEx>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color w:val="000000"/>
                <w:kern w:val="0"/>
                <w:sz w:val="24"/>
              </w:rPr>
            </w:pPr>
            <w:r>
              <w:rPr>
                <w:rFonts w:ascii="仿宋" w:eastAsia="仿宋" w:hAnsi="仿宋" w:cs="仿宋" w:hint="eastAsia"/>
                <w:color w:val="000000"/>
                <w:kern w:val="0"/>
                <w:sz w:val="24"/>
              </w:rPr>
              <w:t>产品名称</w:t>
            </w:r>
          </w:p>
        </w:tc>
        <w:tc>
          <w:tcPr>
            <w:tcW w:w="135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color w:val="000000"/>
                <w:kern w:val="0"/>
                <w:sz w:val="24"/>
              </w:rPr>
            </w:pPr>
            <w:r>
              <w:rPr>
                <w:rFonts w:ascii="仿宋" w:eastAsia="仿宋" w:hAnsi="仿宋" w:cs="仿宋" w:hint="eastAsia"/>
                <w:color w:val="000000"/>
                <w:kern w:val="0"/>
                <w:sz w:val="24"/>
              </w:rPr>
              <w:t>近</w:t>
            </w:r>
            <w:r>
              <w:rPr>
                <w:rFonts w:ascii="仿宋" w:eastAsia="仿宋" w:hAnsi="仿宋" w:cs="仿宋" w:hint="eastAsia"/>
                <w:color w:val="000000"/>
                <w:kern w:val="0"/>
                <w:sz w:val="24"/>
              </w:rPr>
              <w:t>一个月年化收益率</w:t>
            </w:r>
            <w:r>
              <w:rPr>
                <w:rFonts w:ascii="仿宋" w:eastAsia="仿宋" w:hAnsi="仿宋" w:cs="仿宋" w:hint="eastAsia"/>
                <w:kern w:val="0"/>
                <w:sz w:val="24"/>
              </w:rPr>
              <w:t>（%）</w:t>
            </w:r>
          </w:p>
        </w:tc>
        <w:tc>
          <w:tcPr>
            <w:tcW w:w="123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color w:val="000000"/>
                <w:kern w:val="0"/>
                <w:sz w:val="24"/>
              </w:rPr>
            </w:pPr>
            <w:r>
              <w:rPr>
                <w:rFonts w:ascii="仿宋" w:eastAsia="仿宋" w:hAnsi="仿宋" w:cs="仿宋" w:hint="eastAsia"/>
                <w:color w:val="000000"/>
                <w:kern w:val="0"/>
                <w:sz w:val="24"/>
              </w:rPr>
              <w:t>近</w:t>
            </w:r>
            <w:r>
              <w:rPr>
                <w:rFonts w:ascii="仿宋" w:eastAsia="仿宋" w:hAnsi="仿宋" w:cs="仿宋" w:hint="eastAsia"/>
                <w:color w:val="000000"/>
                <w:kern w:val="0"/>
                <w:sz w:val="24"/>
              </w:rPr>
              <w:t>三个月年化收益率</w:t>
            </w:r>
            <w:r>
              <w:rPr>
                <w:rFonts w:ascii="仿宋" w:eastAsia="仿宋" w:hAnsi="仿宋" w:cs="仿宋" w:hint="eastAsia"/>
                <w:kern w:val="0"/>
                <w:sz w:val="24"/>
              </w:rPr>
              <w:t>（%）</w:t>
            </w:r>
          </w:p>
        </w:tc>
        <w:tc>
          <w:tcPr>
            <w:tcW w:w="131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color w:val="000000"/>
                <w:kern w:val="0"/>
                <w:sz w:val="24"/>
              </w:rPr>
            </w:pPr>
            <w:r>
              <w:rPr>
                <w:rFonts w:ascii="仿宋" w:eastAsia="仿宋" w:hAnsi="仿宋" w:cs="仿宋" w:hint="eastAsia"/>
                <w:color w:val="000000"/>
                <w:kern w:val="0"/>
                <w:sz w:val="24"/>
              </w:rPr>
              <w:t>近</w:t>
            </w:r>
            <w:r>
              <w:rPr>
                <w:rFonts w:ascii="仿宋" w:eastAsia="仿宋" w:hAnsi="仿宋" w:cs="仿宋" w:hint="eastAsia"/>
                <w:color w:val="000000"/>
                <w:kern w:val="0"/>
                <w:sz w:val="24"/>
              </w:rPr>
              <w:t>六个月年化收益率</w:t>
            </w:r>
            <w:r>
              <w:rPr>
                <w:rFonts w:ascii="仿宋" w:eastAsia="仿宋" w:hAnsi="仿宋" w:cs="仿宋" w:hint="eastAsia"/>
                <w:kern w:val="0"/>
                <w:sz w:val="24"/>
              </w:rPr>
              <w:t>（%）</w:t>
            </w:r>
          </w:p>
        </w:tc>
        <w:tc>
          <w:tcPr>
            <w:tcW w:w="1212"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color w:val="000000"/>
                <w:kern w:val="0"/>
                <w:sz w:val="24"/>
              </w:rPr>
            </w:pPr>
            <w:r>
              <w:rPr>
                <w:rFonts w:ascii="仿宋" w:eastAsia="仿宋" w:hAnsi="仿宋" w:cs="仿宋" w:hint="eastAsia"/>
                <w:color w:val="000000"/>
                <w:kern w:val="0"/>
                <w:sz w:val="24"/>
              </w:rPr>
              <w:t>近一年年化收益率</w:t>
            </w:r>
            <w:r>
              <w:rPr>
                <w:rFonts w:ascii="仿宋" w:eastAsia="仿宋" w:hAnsi="仿宋" w:cs="仿宋" w:hint="eastAsia"/>
                <w:kern w:val="0"/>
                <w:sz w:val="24"/>
              </w:rPr>
              <w:t>（%）</w:t>
            </w:r>
          </w:p>
        </w:tc>
        <w:tc>
          <w:tcPr>
            <w:tcW w:w="1800"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pPr>
            <w:r>
              <w:rPr>
                <w:rFonts w:ascii="仿宋" w:eastAsia="仿宋" w:hAnsi="仿宋" w:cs="仿宋" w:hint="eastAsia"/>
                <w:color w:val="000000"/>
                <w:kern w:val="0"/>
                <w:sz w:val="24"/>
              </w:rPr>
              <w:t>成立</w:t>
            </w:r>
            <w:r>
              <w:rPr>
                <w:rFonts w:ascii="仿宋" w:eastAsia="仿宋" w:hAnsi="仿宋" w:cs="仿宋" w:hint="eastAsia"/>
                <w:color w:val="000000"/>
                <w:kern w:val="0"/>
                <w:sz w:val="24"/>
              </w:rPr>
              <w:t>以来年化收益率</w:t>
            </w:r>
            <w:r>
              <w:rPr>
                <w:rFonts w:ascii="仿宋" w:eastAsia="仿宋" w:hAnsi="仿宋" w:cs="仿宋" w:hint="eastAsia"/>
                <w:kern w:val="0"/>
                <w:sz w:val="24"/>
              </w:rPr>
              <w:t>（%）</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Style w:val="a1"/>
                <w:rFonts w:ascii="仿宋" w:eastAsia="仿宋" w:hAnsi="仿宋" w:cs="仿宋"/>
                <w:sz w:val="24"/>
              </w:rPr>
            </w:pPr>
            <w:r>
              <w:rPr>
                <w:rStyle w:val="a1"/>
                <w:rFonts w:ascii="仿宋" w:eastAsia="仿宋" w:hAnsi="仿宋" w:cs="仿宋" w:hint="eastAsia"/>
                <w:sz w:val="24"/>
              </w:rPr>
              <w:t>添益90天持有期A款</w:t>
            </w:r>
          </w:p>
        </w:tc>
        <w:tc>
          <w:tcPr>
            <w:tcW w:w="135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2.25</w:t>
            </w:r>
          </w:p>
        </w:tc>
        <w:tc>
          <w:tcPr>
            <w:tcW w:w="123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1.55</w:t>
            </w:r>
          </w:p>
        </w:tc>
        <w:tc>
          <w:tcPr>
            <w:tcW w:w="131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2.34</w:t>
            </w:r>
          </w:p>
        </w:tc>
        <w:tc>
          <w:tcPr>
            <w:tcW w:w="1212"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2.53</w:t>
            </w:r>
          </w:p>
        </w:tc>
        <w:tc>
          <w:tcPr>
            <w:tcW w:w="1800"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pPr>
            <w:r>
              <w:rPr>
                <w:rFonts w:ascii="仿宋" w:eastAsia="仿宋" w:hAnsi="仿宋" w:cs="仿宋" w:hint="eastAsia"/>
                <w:sz w:val="24"/>
              </w:rPr>
              <w:t>2.66</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Style w:val="a1"/>
                <w:rFonts w:ascii="仿宋" w:eastAsia="仿宋" w:hAnsi="仿宋" w:cs="仿宋"/>
                <w:sz w:val="24"/>
              </w:rPr>
            </w:pPr>
            <w:r>
              <w:rPr>
                <w:rStyle w:val="a1"/>
                <w:rFonts w:ascii="仿宋" w:eastAsia="仿宋" w:hAnsi="仿宋" w:cs="仿宋" w:hint="eastAsia"/>
                <w:sz w:val="24"/>
              </w:rPr>
              <w:t>添益90天持有期B款</w:t>
            </w:r>
          </w:p>
        </w:tc>
        <w:tc>
          <w:tcPr>
            <w:tcW w:w="135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2.34</w:t>
            </w:r>
          </w:p>
        </w:tc>
        <w:tc>
          <w:tcPr>
            <w:tcW w:w="123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1.65</w:t>
            </w:r>
          </w:p>
        </w:tc>
        <w:tc>
          <w:tcPr>
            <w:tcW w:w="131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2.43</w:t>
            </w:r>
          </w:p>
        </w:tc>
        <w:tc>
          <w:tcPr>
            <w:tcW w:w="1212"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2.60</w:t>
            </w:r>
          </w:p>
        </w:tc>
        <w:tc>
          <w:tcPr>
            <w:tcW w:w="1800"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pPr>
            <w:r>
              <w:rPr>
                <w:rFonts w:ascii="仿宋" w:eastAsia="仿宋" w:hAnsi="仿宋" w:cs="仿宋" w:hint="eastAsia"/>
                <w:sz w:val="24"/>
              </w:rPr>
              <w:t>2.72</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Style w:val="a1"/>
                <w:rFonts w:ascii="仿宋" w:eastAsia="仿宋" w:hAnsi="仿宋" w:cs="仿宋"/>
                <w:sz w:val="24"/>
              </w:rPr>
            </w:pPr>
            <w:r>
              <w:rPr>
                <w:rStyle w:val="a1"/>
                <w:rFonts w:ascii="仿宋" w:eastAsia="仿宋" w:hAnsi="仿宋" w:cs="仿宋" w:hint="eastAsia"/>
                <w:sz w:val="24"/>
              </w:rPr>
              <w:t>添益90天持有期C款</w:t>
            </w:r>
          </w:p>
        </w:tc>
        <w:tc>
          <w:tcPr>
            <w:tcW w:w="135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2.25</w:t>
            </w:r>
          </w:p>
        </w:tc>
        <w:tc>
          <w:tcPr>
            <w:tcW w:w="123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1.55</w:t>
            </w:r>
          </w:p>
        </w:tc>
        <w:tc>
          <w:tcPr>
            <w:tcW w:w="131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2.33</w:t>
            </w:r>
          </w:p>
        </w:tc>
        <w:tc>
          <w:tcPr>
            <w:tcW w:w="1212"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2.46</w:t>
            </w:r>
          </w:p>
        </w:tc>
        <w:tc>
          <w:tcPr>
            <w:tcW w:w="1800"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pPr>
            <w:r>
              <w:rPr>
                <w:rFonts w:ascii="仿宋" w:eastAsia="仿宋" w:hAnsi="仿宋" w:cs="仿宋" w:hint="eastAsia"/>
                <w:sz w:val="24"/>
              </w:rPr>
              <w:t>2.57</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Style w:val="a1"/>
                <w:rFonts w:ascii="仿宋" w:eastAsia="仿宋" w:hAnsi="仿宋" w:cs="仿宋"/>
                <w:sz w:val="24"/>
              </w:rPr>
            </w:pPr>
            <w:r>
              <w:rPr>
                <w:rStyle w:val="a1"/>
                <w:rFonts w:ascii="仿宋" w:eastAsia="仿宋" w:hAnsi="仿宋" w:cs="仿宋" w:hint="eastAsia"/>
                <w:sz w:val="24"/>
              </w:rPr>
              <w:t>添益90天持有期D款</w:t>
            </w:r>
          </w:p>
        </w:tc>
        <w:tc>
          <w:tcPr>
            <w:tcW w:w="135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2.39</w:t>
            </w:r>
          </w:p>
        </w:tc>
        <w:tc>
          <w:tcPr>
            <w:tcW w:w="123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1.70</w:t>
            </w:r>
          </w:p>
        </w:tc>
        <w:tc>
          <w:tcPr>
            <w:tcW w:w="131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2.49</w:t>
            </w:r>
          </w:p>
        </w:tc>
        <w:tc>
          <w:tcPr>
            <w:tcW w:w="1212"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2.69</w:t>
            </w:r>
          </w:p>
        </w:tc>
        <w:tc>
          <w:tcPr>
            <w:tcW w:w="1800"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pPr>
            <w:r>
              <w:rPr>
                <w:rFonts w:ascii="仿宋" w:eastAsia="仿宋" w:hAnsi="仿宋" w:cs="仿宋" w:hint="eastAsia"/>
                <w:sz w:val="24"/>
              </w:rPr>
              <w:t>2.78</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Style w:val="a1"/>
                <w:rFonts w:ascii="仿宋" w:eastAsia="仿宋" w:hAnsi="仿宋" w:cs="仿宋"/>
                <w:sz w:val="24"/>
              </w:rPr>
            </w:pPr>
            <w:r>
              <w:rPr>
                <w:rStyle w:val="a1"/>
                <w:rFonts w:ascii="仿宋" w:eastAsia="仿宋" w:hAnsi="仿宋" w:cs="仿宋" w:hint="eastAsia"/>
                <w:sz w:val="24"/>
              </w:rPr>
              <w:t>添益90天持有期E款</w:t>
            </w:r>
          </w:p>
        </w:tc>
        <w:tc>
          <w:tcPr>
            <w:tcW w:w="135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2.35</w:t>
            </w:r>
          </w:p>
        </w:tc>
        <w:tc>
          <w:tcPr>
            <w:tcW w:w="123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1.65</w:t>
            </w:r>
          </w:p>
        </w:tc>
        <w:tc>
          <w:tcPr>
            <w:tcW w:w="131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2.43</w:t>
            </w:r>
          </w:p>
        </w:tc>
        <w:tc>
          <w:tcPr>
            <w:tcW w:w="1212"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2.57</w:t>
            </w:r>
          </w:p>
        </w:tc>
        <w:tc>
          <w:tcPr>
            <w:tcW w:w="1800"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pPr>
            <w:r>
              <w:rPr>
                <w:rFonts w:ascii="仿宋" w:eastAsia="仿宋" w:hAnsi="仿宋" w:cs="仿宋" w:hint="eastAsia"/>
                <w:sz w:val="24"/>
              </w:rPr>
              <w:t>2.66</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Style w:val="a1"/>
                <w:rFonts w:ascii="仿宋" w:eastAsia="仿宋" w:hAnsi="仿宋" w:cs="仿宋"/>
                <w:sz w:val="24"/>
              </w:rPr>
            </w:pPr>
            <w:r>
              <w:rPr>
                <w:rStyle w:val="a1"/>
                <w:rFonts w:ascii="仿宋" w:eastAsia="仿宋" w:hAnsi="仿宋" w:cs="仿宋" w:hint="eastAsia"/>
                <w:sz w:val="24"/>
              </w:rPr>
              <w:t>添益90天持有期F款</w:t>
            </w:r>
          </w:p>
        </w:tc>
        <w:tc>
          <w:tcPr>
            <w:tcW w:w="135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2.30</w:t>
            </w:r>
          </w:p>
        </w:tc>
        <w:tc>
          <w:tcPr>
            <w:tcW w:w="123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1.60</w:t>
            </w:r>
          </w:p>
        </w:tc>
        <w:tc>
          <w:tcPr>
            <w:tcW w:w="131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2.39</w:t>
            </w:r>
          </w:p>
        </w:tc>
        <w:tc>
          <w:tcPr>
            <w:tcW w:w="1212"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2.58</w:t>
            </w:r>
          </w:p>
        </w:tc>
        <w:tc>
          <w:tcPr>
            <w:tcW w:w="1800"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pPr>
            <w:r>
              <w:rPr>
                <w:rFonts w:ascii="仿宋" w:eastAsia="仿宋" w:hAnsi="仿宋" w:cs="仿宋" w:hint="eastAsia"/>
                <w:sz w:val="24"/>
              </w:rPr>
              <w:t>2.68</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Style w:val="a1"/>
                <w:rFonts w:ascii="仿宋" w:eastAsia="仿宋" w:hAnsi="仿宋" w:cs="仿宋"/>
                <w:sz w:val="24"/>
              </w:rPr>
            </w:pPr>
            <w:r>
              <w:rPr>
                <w:rStyle w:val="a1"/>
                <w:rFonts w:ascii="仿宋" w:eastAsia="仿宋" w:hAnsi="仿宋" w:cs="仿宋" w:hint="eastAsia"/>
                <w:sz w:val="24"/>
              </w:rPr>
              <w:t>添益90天持有期G款</w:t>
            </w:r>
          </w:p>
        </w:tc>
        <w:tc>
          <w:tcPr>
            <w:tcW w:w="135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2.44</w:t>
            </w:r>
          </w:p>
        </w:tc>
        <w:tc>
          <w:tcPr>
            <w:tcW w:w="123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1.74</w:t>
            </w:r>
          </w:p>
        </w:tc>
        <w:tc>
          <w:tcPr>
            <w:tcW w:w="131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2.53</w:t>
            </w:r>
          </w:p>
        </w:tc>
        <w:tc>
          <w:tcPr>
            <w:tcW w:w="1212"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2.66</w:t>
            </w:r>
          </w:p>
        </w:tc>
        <w:tc>
          <w:tcPr>
            <w:tcW w:w="1800"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pPr>
            <w:r>
              <w:rPr>
                <w:rFonts w:ascii="仿宋" w:eastAsia="仿宋" w:hAnsi="仿宋" w:cs="仿宋" w:hint="eastAsia"/>
                <w:sz w:val="24"/>
              </w:rPr>
              <w:t>2.75</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Style w:val="a1"/>
                <w:rFonts w:ascii="仿宋" w:eastAsia="仿宋" w:hAnsi="仿宋" w:cs="仿宋"/>
                <w:sz w:val="24"/>
              </w:rPr>
            </w:pPr>
            <w:r>
              <w:rPr>
                <w:rStyle w:val="a1"/>
                <w:rFonts w:ascii="仿宋" w:eastAsia="仿宋" w:hAnsi="仿宋" w:cs="仿宋" w:hint="eastAsia"/>
                <w:sz w:val="24"/>
              </w:rPr>
              <w:t>添益90天持有期H款</w:t>
            </w:r>
          </w:p>
        </w:tc>
        <w:tc>
          <w:tcPr>
            <w:tcW w:w="135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2.24</w:t>
            </w:r>
          </w:p>
        </w:tc>
        <w:tc>
          <w:tcPr>
            <w:tcW w:w="123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1.55</w:t>
            </w:r>
          </w:p>
        </w:tc>
        <w:tc>
          <w:tcPr>
            <w:tcW w:w="1315"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2.40</w:t>
            </w:r>
          </w:p>
        </w:tc>
        <w:tc>
          <w:tcPr>
            <w:tcW w:w="1212"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rPr>
                <w:rFonts w:ascii="仿宋" w:eastAsia="仿宋" w:hAnsi="仿宋" w:cs="仿宋"/>
                <w:sz w:val="24"/>
              </w:rPr>
            </w:pPr>
            <w:r>
              <w:rPr>
                <w:rFonts w:ascii="仿宋" w:eastAsia="仿宋" w:hAnsi="仿宋" w:cs="仿宋" w:hint="eastAsia"/>
                <w:sz w:val="24"/>
              </w:rPr>
              <w:t>2.63</w:t>
            </w:r>
          </w:p>
        </w:tc>
        <w:tc>
          <w:tcPr>
            <w:tcW w:w="1800" w:type="dxa"/>
            <w:tcBorders>
              <w:top w:val="single" w:sz="4" w:space="0" w:color="auto"/>
              <w:left w:val="single" w:sz="4" w:space="0" w:color="auto"/>
              <w:bottom w:val="single" w:sz="4" w:space="0" w:color="auto"/>
              <w:right w:val="single" w:sz="4" w:space="0" w:color="auto"/>
            </w:tcBorders>
            <w:vAlign w:val="center"/>
          </w:tcPr>
          <w:p w:rsidR="0014030B">
            <w:pPr>
              <w:widowControl/>
              <w:adjustRightInd w:val="0"/>
              <w:snapToGrid w:val="0"/>
              <w:jc w:val="center"/>
            </w:pPr>
            <w:r>
              <w:rPr>
                <w:rFonts w:ascii="仿宋" w:eastAsia="仿宋" w:hAnsi="仿宋" w:cs="仿宋" w:hint="eastAsia"/>
                <w:sz w:val="24"/>
              </w:rPr>
              <w:t>2.73</w:t>
            </w:r>
          </w:p>
        </w:tc>
      </w:tr>
    </w:tbl>
    <w:p w:rsidR="0014030B">
      <w:pPr>
        <w:adjustRightInd w:val="0"/>
        <w:snapToGrid w:val="0"/>
        <w:spacing w:line="360" w:lineRule="exac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折合年化收益率</w:t>
      </w:r>
      <w:r>
        <w:rPr>
          <w:rFonts w:ascii="仿宋" w:eastAsia="仿宋" w:hAnsi="仿宋" w:cs="仿宋" w:hint="eastAsia"/>
          <w:sz w:val="24"/>
        </w:rPr>
        <w:t>计算公式为：（当前累计净值-N天前累计净值）/N天前单位净值/N*365*100%，N的取值为：近一个月：30天；近三个月：90天；近六个月：180天；近一年：365天；成立以来：当前日期-成立日；</w:t>
      </w:r>
      <w:r>
        <w:rPr>
          <w:rFonts w:ascii="仿宋" w:eastAsia="仿宋" w:hAnsi="仿宋" w:cs="仿宋" w:hint="eastAsia"/>
          <w:sz w:val="24"/>
        </w:rPr>
        <w:br/>
        <w:t>*产品过往业绩相关数据已经产品托管人复核；</w:t>
      </w:r>
    </w:p>
    <w:p w:rsidR="00701460">
      <w:pPr>
        <w:adjustRightInd w:val="0"/>
        <w:snapToGrid w:val="0"/>
        <w:spacing w:line="360" w:lineRule="exact"/>
        <w:rPr>
          <w:rFonts w:ascii="仿宋" w:eastAsia="仿宋" w:hAnsi="仿宋" w:cs="仿宋"/>
          <w:sz w:val="24"/>
        </w:rPr>
      </w:pPr>
      <w:r>
        <w:rPr>
          <w:rFonts w:ascii="仿宋" w:eastAsia="仿宋" w:hAnsi="仿宋" w:cs="仿宋" w:hint="eastAsia"/>
          <w:sz w:val="24"/>
        </w:rPr>
        <w:t>*</w:t>
      </w:r>
      <w:r>
        <w:rPr>
          <w:rFonts w:ascii="仿宋" w:eastAsia="仿宋" w:hAnsi="仿宋" w:hint="eastAsia"/>
          <w:sz w:val="24"/>
        </w:rPr>
        <w:t>理财产品</w:t>
      </w:r>
      <w:r w:rsidR="001F0D85">
        <w:rPr>
          <w:rFonts w:ascii="仿宋" w:eastAsia="仿宋" w:hAnsi="仿宋" w:hint="eastAsia"/>
          <w:sz w:val="24"/>
        </w:rPr>
        <w:t>过往业绩不代表其未来的表现及收益，理财非存款，市场有风险，投资须</w:t>
      </w:r>
      <w:bookmarkStart w:id="7" w:name="_GoBack"/>
      <w:bookmarkEnd w:id="7"/>
      <w:r>
        <w:rPr>
          <w:rFonts w:ascii="仿宋" w:eastAsia="仿宋" w:hAnsi="仿宋" w:hint="eastAsia"/>
          <w:sz w:val="24"/>
        </w:rPr>
        <w:t>谨慎。</w:t>
      </w:r>
    </w:p>
    <w:p w:rsidR="0014030B">
      <w:pPr>
        <w:adjustRightInd w:val="0"/>
        <w:snapToGrid w:val="0"/>
        <w:rPr>
          <w:rFonts w:ascii="仿宋" w:eastAsia="仿宋" w:hAnsi="仿宋" w:cs="仿宋"/>
          <w:color w:val="404040"/>
          <w:kern w:val="0"/>
          <w:sz w:val="24"/>
        </w:rPr>
      </w:pPr>
    </w:p>
    <w:p w:rsidR="0014030B">
      <w:pPr>
        <w:pStyle w:val="Heading2"/>
        <w:adjustRightInd w:val="0"/>
        <w:snapToGrid w:val="0"/>
        <w:spacing w:line="560" w:lineRule="exact"/>
        <w:jc w:val="center"/>
        <w:rPr>
          <w:rFonts w:ascii="仿宋" w:eastAsia="仿宋" w:hAnsi="仿宋" w:cs="仿宋"/>
          <w:sz w:val="24"/>
        </w:rPr>
      </w:pPr>
      <w:bookmarkStart w:id="8" w:name="_Toc829383023"/>
      <w:r>
        <w:rPr>
          <w:rFonts w:ascii="仿宋" w:eastAsia="仿宋" w:hAnsi="仿宋" w:cs="仿宋" w:hint="eastAsia"/>
          <w:sz w:val="24"/>
        </w:rPr>
        <w:t>§4  投资组合报告</w:t>
      </w:r>
      <w:bookmarkEnd w:id="8"/>
    </w:p>
    <w:p w:rsidR="0014030B">
      <w:pPr>
        <w:adjustRightInd w:val="0"/>
        <w:snapToGrid w:val="0"/>
        <w:spacing w:line="440" w:lineRule="exact"/>
        <w:outlineLvl w:val="2"/>
        <w:rPr>
          <w:rFonts w:ascii="仿宋" w:eastAsia="仿宋" w:hAnsi="仿宋" w:cs="仿宋"/>
          <w:b/>
          <w:sz w:val="24"/>
        </w:rPr>
      </w:pPr>
      <w:bookmarkStart w:id="9" w:name="_Toc124114884"/>
      <w:r>
        <w:rPr>
          <w:rFonts w:ascii="仿宋" w:eastAsia="仿宋" w:hAnsi="仿宋" w:cs="仿宋" w:hint="eastAsia"/>
          <w:b/>
          <w:sz w:val="24"/>
        </w:rPr>
        <w:t>4.1 报告期内产品投资策略回顾</w:t>
      </w:r>
      <w:bookmarkEnd w:id="9"/>
    </w:p>
    <w:p w:rsidR="0014030B">
      <w:pPr>
        <w:adjustRightInd w:val="0"/>
        <w:snapToGrid w:val="0"/>
        <w:spacing w:line="420" w:lineRule="exact"/>
        <w:ind w:firstLine="480" w:firstLineChars="200"/>
        <w:rPr>
          <w:rFonts w:ascii="仿宋" w:eastAsia="仿宋" w:hAnsi="仿宋" w:cs="仿宋"/>
          <w:sz w:val="24"/>
        </w:rPr>
      </w:pPr>
      <w:r>
        <w:rPr>
          <w:rFonts w:ascii="仿宋" w:eastAsia="仿宋" w:hAnsi="仿宋" w:cs="仿宋" w:hint="eastAsia"/>
          <w:sz w:val="24"/>
        </w:rPr>
        <w:t>一季度以来，债券收益率整体小幅上行，3月下旬开始回到下行区间。今年以来，受资金面阶段性收紧、政府债供给放量及降息预期修正影响，导致债券收益率从短端到长端都有小幅上行。央行一季度货币政策例会明确“实施适度宽松的货币政策”，强调逆周期调节，并提出“择机降准降息”。尽管一季度未实际降息，但市场普遍预期二季度可能成为降准降息的窗口期，有政策利率下调的可能性，以支持实体经济和信用扩张。结构性货币政策工具进一步发力，重点支持科技创新、消费和房地产领域。整体而言，目前国内资产利率中枢仍在下行过程中，资产荒和货币政策宽松的债市主线逻辑依旧存在。从收益率来看，截至3月31日，10年国债收益率1.81%，较去年末上行14bp，1年期国股存单收益率1.885%，较去年末上行31bp，3年期AA+城投债收益率2.08%，较去年末上行17bp，3年期AAA银行二级资本债收益率2.04%，较去年末上行28bp，相比起来，短端收益上行更明显。本产品主要配置固收类资产，债券部分以信用债为主，久期适中偏短，尽管收益率小幅上行，但票息收益稳定，产品净值整体保持了较好的表现。</w:t>
      </w:r>
    </w:p>
    <w:p w:rsidR="0014030B">
      <w:pPr>
        <w:adjustRightInd w:val="0"/>
        <w:snapToGrid w:val="0"/>
        <w:spacing w:line="440" w:lineRule="exact"/>
        <w:outlineLvl w:val="2"/>
        <w:rPr>
          <w:rFonts w:ascii="仿宋" w:eastAsia="仿宋" w:hAnsi="仿宋" w:cs="仿宋"/>
          <w:b/>
          <w:sz w:val="24"/>
        </w:rPr>
      </w:pPr>
      <w:bookmarkStart w:id="10" w:name="_Toc792234151"/>
      <w:r>
        <w:rPr>
          <w:rFonts w:ascii="仿宋" w:eastAsia="仿宋" w:hAnsi="仿宋" w:cs="仿宋" w:hint="eastAsia"/>
          <w:b/>
          <w:sz w:val="24"/>
        </w:rPr>
        <w:t>4.2产品未来展望</w:t>
      </w:r>
      <w:bookmarkEnd w:id="10"/>
    </w:p>
    <w:p w:rsidR="0014030B">
      <w:pPr>
        <w:adjustRightInd w:val="0"/>
        <w:snapToGrid w:val="0"/>
        <w:spacing w:line="420" w:lineRule="exact"/>
        <w:ind w:firstLine="480" w:firstLineChars="200"/>
        <w:rPr>
          <w:rFonts w:ascii="仿宋" w:eastAsia="仿宋" w:hAnsi="仿宋" w:cs="仿宋"/>
          <w:sz w:val="24"/>
        </w:rPr>
      </w:pPr>
      <w:r>
        <w:rPr>
          <w:rFonts w:ascii="仿宋" w:eastAsia="仿宋" w:hAnsi="仿宋" w:cs="仿宋" w:hint="eastAsia"/>
          <w:sz w:val="24"/>
        </w:rPr>
        <w:t>展望2025年二季度，从基本面来看，一季度以来PMI、地产销售等数据边际走强，显示当前基本面处于弱复苏态势。但受到中美贸易摩擦、内需依旧相对疲弱，消费修复缓慢等因素的影响，经济内生性动力仍有待提升，在基本面没有大幅走强之前对债市仍偏利好。从政策面来看，二季度降准降息若兑现，或缓解资金面压力并引导利率下行。此外二季度政府债和地方债发行或放量，美联储政策路径及地缘政治对汇率和资本流动的冲击可能加剧市场波动。二季度债市仍处于“宽货币+弱经济”的支撑框架内，但短期需警惕政策预期差和供给冲击带来的调整风险。我们预期二季度债券收益率整体保持低位震荡偏多，策略上，信用债保持一定仓位，适时把握利率债阶段性交易机会。</w:t>
      </w:r>
    </w:p>
    <w:p w:rsidR="0014030B">
      <w:pPr>
        <w:adjustRightInd w:val="0"/>
        <w:snapToGrid w:val="0"/>
        <w:spacing w:line="440" w:lineRule="exact"/>
        <w:outlineLvl w:val="2"/>
        <w:rPr>
          <w:rFonts w:ascii="仿宋" w:eastAsia="仿宋" w:hAnsi="仿宋" w:cs="仿宋"/>
          <w:b/>
          <w:sz w:val="24"/>
        </w:rPr>
      </w:pPr>
      <w:bookmarkStart w:id="11" w:name="_Toc680764457"/>
      <w:r>
        <w:rPr>
          <w:rFonts w:ascii="仿宋" w:eastAsia="仿宋" w:hAnsi="仿宋" w:cs="仿宋" w:hint="eastAsia"/>
          <w:b/>
          <w:sz w:val="24"/>
        </w:rPr>
        <w:t>4.3投资组合的流动性风险分析</w:t>
      </w:r>
      <w:bookmarkEnd w:id="11"/>
    </w:p>
    <w:p w:rsidR="0014030B">
      <w:pPr>
        <w:adjustRightInd w:val="0"/>
        <w:snapToGrid w:val="0"/>
        <w:spacing w:line="420" w:lineRule="exact"/>
        <w:ind w:firstLine="480" w:firstLineChars="200"/>
        <w:rPr>
          <w:rFonts w:ascii="仿宋" w:eastAsia="仿宋" w:hAnsi="仿宋" w:cs="仿宋"/>
          <w:sz w:val="24"/>
        </w:rPr>
      </w:pPr>
      <w:r>
        <w:rPr>
          <w:rFonts w:ascii="仿宋" w:eastAsia="仿宋" w:hAnsi="仿宋" w:cs="仿宋" w:hint="eastAsia"/>
          <w:sz w:val="24"/>
        </w:rPr>
        <w:t>流动性风险是指理财产品无法通过变现资产等途径以合理成本及时获得充足资金，用于满足该理财产品的投资者赎回需求、履行其他支付义务的风险。</w:t>
        <w:cr/>
        <w:t xml:space="preserve">    本产品主要投资于货币市场工具、债券类资产及资管计划。产品所投资的货币市场工具及债券资产流动性状况良好，正常情况下能够及时变现资产，筹集资金，满足本产品的投资者赎回需求或其他支付要求。产品所投资资管计划运作规范，能够通过申赎安排满足本产品流动性需求。</w:t>
        <w:cr/>
        <w:t xml:space="preserve">    报告期内，本产品组合资产的流动性与产品的申赎安排相匹配，未发生重大流动性风险事件。管理人将继续密切关注市场变化，做好产品端现金流的跟踪与研判，通过合理安排投资品种和期限结构、监控组合资金头寸等方式，确保产品的流动性风险得到有效管理。</w:t>
      </w:r>
    </w:p>
    <w:p w:rsidR="0014030B">
      <w:pPr>
        <w:adjustRightInd w:val="0"/>
        <w:snapToGrid w:val="0"/>
        <w:spacing w:line="440" w:lineRule="exact"/>
        <w:outlineLvl w:val="2"/>
        <w:rPr>
          <w:rFonts w:ascii="仿宋" w:eastAsia="仿宋" w:hAnsi="仿宋" w:cs="仿宋"/>
          <w:b/>
          <w:sz w:val="24"/>
        </w:rPr>
      </w:pPr>
      <w:bookmarkStart w:id="12" w:name="_Toc1962841230"/>
      <w:r>
        <w:rPr>
          <w:rFonts w:ascii="仿宋" w:eastAsia="仿宋" w:hAnsi="仿宋" w:cs="仿宋" w:hint="eastAsia"/>
          <w:b/>
          <w:sz w:val="24"/>
        </w:rPr>
        <w:t>4.4 报告期末投资组合分类</w:t>
      </w:r>
      <w:bookmarkEnd w:id="12"/>
    </w:p>
    <w:tbl>
      <w:tblPr>
        <w:tblW w:w="9024" w:type="dxa"/>
        <w:tblInd w:w="-5" w:type="dxa"/>
        <w:tblLayout w:type="fixed"/>
        <w:tblCellMar>
          <w:left w:w="0" w:type="dxa"/>
          <w:right w:w="0" w:type="dxa"/>
        </w:tblCellMar>
        <w:tblLook w:val="04A0"/>
      </w:tblPr>
      <w:tblGrid>
        <w:gridCol w:w="406"/>
        <w:gridCol w:w="4082"/>
        <w:gridCol w:w="2268"/>
        <w:gridCol w:w="2268"/>
      </w:tblGrid>
      <w:tr w:rsidTr="009F3208">
        <w:tblPrEx>
          <w:tblW w:w="9024" w:type="dxa"/>
          <w:tblInd w:w="-5" w:type="dxa"/>
          <w:tblLayout w:type="fixed"/>
          <w:tblCellMar>
            <w:left w:w="0" w:type="dxa"/>
            <w:right w:w="0" w:type="dxa"/>
          </w:tblCellMar>
          <w:tblLook w:val="04A0"/>
        </w:tblPrEx>
        <w:trPr>
          <w:trHeight w:val="415"/>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序号</w:t>
            </w:r>
          </w:p>
        </w:tc>
        <w:tc>
          <w:tcPr>
            <w:tcW w:w="4082" w:type="dxa"/>
            <w:tcBorders>
              <w:top w:val="single" w:sz="4" w:space="0" w:color="auto"/>
              <w:left w:val="nil"/>
              <w:bottom w:val="single" w:sz="4" w:space="0" w:color="auto"/>
              <w:right w:val="single" w:sz="4" w:space="0" w:color="auto"/>
            </w:tcBorders>
            <w:vAlign w:val="center"/>
          </w:tcPr>
          <w:p w:rsidR="0014030B" w:rsidP="009F3208">
            <w:pPr>
              <w:adjustRightInd w:val="0"/>
              <w:snapToGrid w:val="0"/>
              <w:jc w:val="center"/>
              <w:rPr>
                <w:rFonts w:ascii="仿宋" w:eastAsia="仿宋" w:hAnsi="仿宋" w:cs="仿宋"/>
                <w:sz w:val="24"/>
              </w:rPr>
            </w:pPr>
            <w:r>
              <w:rPr>
                <w:rFonts w:ascii="仿宋" w:eastAsia="仿宋" w:hAnsi="仿宋" w:cs="仿宋" w:hint="eastAsia"/>
                <w:sz w:val="24"/>
              </w:rPr>
              <w:t>项目</w:t>
            </w:r>
          </w:p>
        </w:tc>
        <w:tc>
          <w:tcPr>
            <w:tcW w:w="2268" w:type="dxa"/>
            <w:tcBorders>
              <w:top w:val="single" w:sz="4" w:space="0" w:color="auto"/>
              <w:left w:val="nil"/>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期末</w:t>
            </w:r>
            <w:r>
              <w:rPr>
                <w:rFonts w:ascii="仿宋" w:eastAsia="仿宋" w:hAnsi="仿宋" w:cs="仿宋" w:hint="eastAsia"/>
                <w:sz w:val="24"/>
              </w:rPr>
              <w:t>穿透前占总</w:t>
            </w:r>
            <w:r>
              <w:rPr>
                <w:rFonts w:ascii="仿宋" w:eastAsia="仿宋" w:hAnsi="仿宋" w:cs="仿宋" w:hint="eastAsia"/>
                <w:sz w:val="24"/>
              </w:rPr>
              <w:t>资产比例（％）</w:t>
            </w:r>
          </w:p>
        </w:tc>
        <w:tc>
          <w:tcPr>
            <w:tcW w:w="2268" w:type="dxa"/>
            <w:tcBorders>
              <w:top w:val="single" w:sz="4" w:space="0" w:color="auto"/>
              <w:left w:val="nil"/>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期末穿透后占总资产比例（％）</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1</w:t>
            </w:r>
          </w:p>
        </w:tc>
        <w:tc>
          <w:tcPr>
            <w:tcW w:w="4082"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现金及银行存款</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14.84</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22.31</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2</w:t>
            </w:r>
          </w:p>
        </w:tc>
        <w:tc>
          <w:tcPr>
            <w:tcW w:w="4082"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同业存单</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23.74</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23.30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3</w:t>
            </w:r>
          </w:p>
        </w:tc>
        <w:tc>
          <w:tcPr>
            <w:tcW w:w="4082"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拆放同业及债券买入返售</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2.21</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4</w:t>
            </w:r>
          </w:p>
        </w:tc>
        <w:tc>
          <w:tcPr>
            <w:tcW w:w="4082"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债券</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4.20</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45.60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5</w:t>
            </w:r>
          </w:p>
        </w:tc>
        <w:tc>
          <w:tcPr>
            <w:tcW w:w="4082"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非标准化债权类资产</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6</w:t>
            </w:r>
          </w:p>
        </w:tc>
        <w:tc>
          <w:tcPr>
            <w:tcW w:w="4082"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权益类投资</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1.92</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7</w:t>
            </w:r>
          </w:p>
        </w:tc>
        <w:tc>
          <w:tcPr>
            <w:tcW w:w="4082"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金融衍生品</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8</w:t>
            </w:r>
          </w:p>
        </w:tc>
        <w:tc>
          <w:tcPr>
            <w:tcW w:w="4082"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代客境外理财投资QDII</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9</w:t>
            </w:r>
          </w:p>
        </w:tc>
        <w:tc>
          <w:tcPr>
            <w:tcW w:w="4082"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商品类资产</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10</w:t>
            </w:r>
          </w:p>
        </w:tc>
        <w:tc>
          <w:tcPr>
            <w:tcW w:w="4082"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另类资产</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11</w:t>
            </w:r>
          </w:p>
        </w:tc>
        <w:tc>
          <w:tcPr>
            <w:tcW w:w="4082"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公募基金</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5.16</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4.65</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12</w:t>
            </w:r>
          </w:p>
        </w:tc>
        <w:tc>
          <w:tcPr>
            <w:tcW w:w="4082"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私募基金</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13</w:t>
            </w:r>
          </w:p>
        </w:tc>
        <w:tc>
          <w:tcPr>
            <w:tcW w:w="4082"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资产管理产品</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52.06</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14</w:t>
            </w:r>
          </w:p>
        </w:tc>
        <w:tc>
          <w:tcPr>
            <w:tcW w:w="4082"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委外投资——协议方式</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15</w:t>
            </w:r>
          </w:p>
        </w:tc>
        <w:tc>
          <w:tcPr>
            <w:tcW w:w="4082"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合计</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100.00</w:t>
            </w:r>
          </w:p>
        </w:tc>
        <w:tc>
          <w:tcPr>
            <w:tcW w:w="2268" w:type="dxa"/>
            <w:tcBorders>
              <w:top w:val="single" w:sz="4" w:space="0" w:color="auto"/>
              <w:left w:val="nil"/>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100.00</w:t>
            </w:r>
          </w:p>
        </w:tc>
      </w:tr>
    </w:tbl>
    <w:p w:rsidR="0014030B">
      <w:pPr>
        <w:adjustRightInd w:val="0"/>
        <w:snapToGrid w:val="0"/>
        <w:spacing w:line="440" w:lineRule="exact"/>
        <w:outlineLvl w:val="2"/>
        <w:rPr>
          <w:rFonts w:ascii="仿宋" w:eastAsia="仿宋" w:hAnsi="仿宋" w:cs="仿宋"/>
          <w:b/>
          <w:sz w:val="24"/>
        </w:rPr>
      </w:pPr>
      <w:bookmarkStart w:id="13" w:name="_Toc1258005047"/>
      <w:r>
        <w:rPr>
          <w:rFonts w:ascii="仿宋" w:eastAsia="仿宋" w:hAnsi="仿宋" w:cs="仿宋" w:hint="eastAsia"/>
          <w:b/>
          <w:sz w:val="24"/>
        </w:rPr>
        <w:t>4.</w:t>
      </w:r>
      <w:r>
        <w:rPr>
          <w:rFonts w:ascii="仿宋" w:eastAsia="仿宋" w:hAnsi="仿宋" w:cs="仿宋"/>
          <w:b/>
          <w:sz w:val="24"/>
        </w:rPr>
        <w:t>5</w:t>
      </w:r>
      <w:r>
        <w:rPr>
          <w:rFonts w:ascii="仿宋" w:eastAsia="仿宋" w:hAnsi="仿宋" w:cs="仿宋" w:hint="eastAsia"/>
          <w:b/>
          <w:sz w:val="24"/>
        </w:rPr>
        <w:t>报告期末投资前十名资产明细</w:t>
      </w:r>
      <w:bookmarkEnd w:id="13"/>
    </w:p>
    <w:p w:rsidR="0014030B">
      <w:pPr>
        <w:adjustRightInd w:val="0"/>
        <w:snapToGrid w:val="0"/>
        <w:spacing w:line="440" w:lineRule="exact"/>
        <w:ind w:firstLine="6240" w:firstLineChars="2600"/>
        <w:jc w:val="right"/>
        <w:rPr>
          <w:rFonts w:ascii="仿宋" w:eastAsia="仿宋" w:hAnsi="仿宋" w:cs="仿宋"/>
          <w:sz w:val="24"/>
        </w:rPr>
      </w:pPr>
      <w:r>
        <w:rPr>
          <w:rFonts w:ascii="仿宋" w:eastAsia="仿宋" w:hAnsi="仿宋" w:cs="仿宋" w:hint="eastAsia"/>
          <w:sz w:val="24"/>
        </w:rPr>
        <w:t>单位：</w:t>
      </w:r>
      <w:r>
        <w:rPr>
          <w:rFonts w:ascii="仿宋" w:eastAsia="仿宋" w:hAnsi="仿宋" w:cs="仿宋"/>
          <w:sz w:val="24"/>
        </w:rPr>
        <w:t>人民币元</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62"/>
        <w:gridCol w:w="3772"/>
        <w:gridCol w:w="2340"/>
        <w:gridCol w:w="2356"/>
      </w:tblGrid>
      <w:tr>
        <w:tblPrEx>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序号</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资产名称</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金额（</w:t>
            </w:r>
            <w:r>
              <w:rPr>
                <w:rFonts w:ascii="仿宋" w:eastAsia="仿宋" w:hAnsi="仿宋" w:cs="仿宋"/>
                <w:sz w:val="24"/>
              </w:rPr>
              <w:t>元</w:t>
            </w:r>
            <w:r>
              <w:rPr>
                <w:rFonts w:ascii="仿宋" w:eastAsia="仿宋" w:hAnsi="仿宋" w:cs="仿宋"/>
                <w:sz w:val="24"/>
              </w:rPr>
              <w:t>）</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占资产净值比例（％）</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1</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24平安银行CD128</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296,089,089.04</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3.62</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同业存放 中国银行股份有限公司 2.18 2024/06/20 0112</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203,446,916.67</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2.49</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3</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24兴业银行CD296</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201,822,150.73</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2.47</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4</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存放同业 华夏银行股份有限公司 2.05 2025/02/18 4124</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200,478,333.38</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2.45</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5</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24浦发银行CD270</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197,838,804.38</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2.42</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6</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存放同业 华夏银行股份有限公司 2.05 2025/02/18 4119</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150,358,750.14</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1.84</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7</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同业存放 中国银行股份有限公司 2.17 2024/06/25 0113</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132,196,638.89</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1.62</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8</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他行存款(XT2024-000296)</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121,431,952.68</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1.48</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9</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他行存款(823001-000338)</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115,333,291.52</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1.41</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10</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他行存款(XT2024-000069)</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103,211,129.86</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1.26</w:t>
            </w:r>
          </w:p>
        </w:tc>
      </w:tr>
    </w:tbl>
    <w:p w:rsidR="0014030B">
      <w:pPr>
        <w:adjustRightInd w:val="0"/>
        <w:snapToGrid w:val="0"/>
        <w:spacing w:line="440" w:lineRule="exact"/>
        <w:outlineLvl w:val="2"/>
        <w:rPr>
          <w:rFonts w:ascii="仿宋" w:eastAsia="仿宋" w:hAnsi="仿宋" w:cs="仿宋"/>
          <w:b/>
          <w:sz w:val="24"/>
        </w:rPr>
      </w:pPr>
      <w:bookmarkStart w:id="14" w:name="_Toc1314320214"/>
      <w:r>
        <w:rPr>
          <w:rFonts w:ascii="仿宋" w:eastAsia="仿宋" w:hAnsi="仿宋" w:cs="仿宋" w:hint="eastAsia"/>
          <w:b/>
          <w:sz w:val="24"/>
        </w:rPr>
        <w:t>4.</w:t>
      </w:r>
      <w:r>
        <w:rPr>
          <w:rFonts w:ascii="仿宋" w:eastAsia="仿宋" w:hAnsi="仿宋" w:cs="仿宋"/>
          <w:b/>
          <w:sz w:val="24"/>
        </w:rPr>
        <w:t>6</w:t>
      </w:r>
      <w:r>
        <w:rPr>
          <w:rFonts w:ascii="仿宋" w:eastAsia="仿宋" w:hAnsi="仿宋" w:cs="仿宋" w:hint="eastAsia"/>
          <w:b/>
          <w:sz w:val="24"/>
        </w:rPr>
        <w:t>报告期融资情况</w:t>
      </w:r>
      <w:bookmarkEnd w:id="14"/>
    </w:p>
    <w:p w:rsidR="0014030B">
      <w:pPr>
        <w:adjustRightInd w:val="0"/>
        <w:snapToGrid w:val="0"/>
        <w:spacing w:line="440" w:lineRule="exact"/>
        <w:ind w:firstLine="6240" w:firstLineChars="2600"/>
        <w:jc w:val="right"/>
        <w:rPr>
          <w:rFonts w:ascii="仿宋" w:eastAsia="仿宋" w:hAnsi="仿宋" w:cs="仿宋"/>
          <w:sz w:val="24"/>
        </w:rPr>
      </w:pPr>
      <w:r>
        <w:rPr>
          <w:rFonts w:ascii="仿宋" w:eastAsia="仿宋" w:hAnsi="仿宋" w:cs="仿宋" w:hint="eastAsia"/>
          <w:sz w:val="24"/>
        </w:rPr>
        <w:t>单位：</w:t>
      </w:r>
      <w:r>
        <w:rPr>
          <w:rFonts w:ascii="仿宋" w:eastAsia="仿宋" w:hAnsi="仿宋" w:cs="仿宋"/>
          <w:sz w:val="24"/>
        </w:rPr>
        <w:t>人民币元</w:t>
      </w:r>
    </w:p>
    <w:tbl>
      <w:tblPr>
        <w:tblW w:w="8999" w:type="dxa"/>
        <w:tblInd w:w="-5" w:type="dxa"/>
        <w:tblLayout w:type="fixed"/>
        <w:tblCellMar>
          <w:left w:w="30" w:type="dxa"/>
          <w:right w:w="30" w:type="dxa"/>
        </w:tblCellMar>
        <w:tblLook w:val="04A0"/>
      </w:tblPr>
      <w:tblGrid>
        <w:gridCol w:w="632"/>
        <w:gridCol w:w="3167"/>
        <w:gridCol w:w="2433"/>
        <w:gridCol w:w="2767"/>
      </w:tblGrid>
      <w:tr>
        <w:tblPrEx>
          <w:tblW w:w="8999" w:type="dxa"/>
          <w:tblInd w:w="-5" w:type="dxa"/>
          <w:tblLayout w:type="fixed"/>
          <w:tblCellMar>
            <w:left w:w="30" w:type="dxa"/>
            <w:right w:w="30" w:type="dxa"/>
          </w:tblCellMar>
          <w:tblLook w:val="04A0"/>
        </w:tblPrEx>
        <w:trPr>
          <w:trHeight w:val="375"/>
        </w:trPr>
        <w:tc>
          <w:tcPr>
            <w:tcW w:w="632"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序号</w:t>
            </w:r>
          </w:p>
        </w:tc>
        <w:tc>
          <w:tcPr>
            <w:tcW w:w="3167"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项目</w:t>
            </w:r>
          </w:p>
        </w:tc>
        <w:tc>
          <w:tcPr>
            <w:tcW w:w="2433"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金额（</w:t>
            </w:r>
            <w:r>
              <w:rPr>
                <w:rFonts w:ascii="仿宋" w:eastAsia="仿宋" w:hAnsi="仿宋" w:cs="仿宋"/>
                <w:sz w:val="24"/>
              </w:rPr>
              <w:t>元</w:t>
            </w:r>
            <w:r>
              <w:rPr>
                <w:rFonts w:ascii="仿宋" w:eastAsia="仿宋" w:hAnsi="仿宋" w:cs="仿宋"/>
                <w:sz w:val="24"/>
              </w:rPr>
              <w:t>）</w:t>
            </w:r>
          </w:p>
        </w:tc>
        <w:tc>
          <w:tcPr>
            <w:tcW w:w="2767"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占资产净值比例（％）</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1</w:t>
            </w:r>
          </w:p>
        </w:tc>
        <w:tc>
          <w:tcPr>
            <w:tcW w:w="3167"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报告期末质押式回购余额</w:t>
            </w:r>
          </w:p>
        </w:tc>
        <w:tc>
          <w:tcPr>
            <w:tcW w:w="2433"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kern w:val="0"/>
                <w:sz w:val="24"/>
              </w:rPr>
            </w:pPr>
            <w:r>
              <w:rPr>
                <w:rFonts w:ascii="仿宋" w:eastAsia="仿宋" w:hAnsi="仿宋" w:cs="仿宋" w:hint="eastAsia"/>
                <w:kern w:val="0"/>
                <w:sz w:val="24"/>
              </w:rPr>
              <w:t>343,128,808.21</w:t>
            </w:r>
          </w:p>
        </w:tc>
        <w:tc>
          <w:tcPr>
            <w:tcW w:w="2767"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kern w:val="0"/>
                <w:sz w:val="24"/>
              </w:rPr>
            </w:pPr>
            <w:r>
              <w:rPr>
                <w:rFonts w:ascii="仿宋" w:eastAsia="仿宋" w:hAnsi="仿宋" w:cs="仿宋" w:hint="eastAsia"/>
                <w:kern w:val="0"/>
                <w:sz w:val="24"/>
              </w:rPr>
              <w:t>4.20</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2</w:t>
            </w:r>
          </w:p>
        </w:tc>
        <w:tc>
          <w:tcPr>
            <w:tcW w:w="3167"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报告期末同业拆入余额</w:t>
            </w:r>
          </w:p>
        </w:tc>
        <w:tc>
          <w:tcPr>
            <w:tcW w:w="2433"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kern w:val="0"/>
                <w:sz w:val="24"/>
              </w:rPr>
            </w:pPr>
            <w:r>
              <w:rPr>
                <w:rFonts w:ascii="仿宋" w:eastAsia="仿宋" w:hAnsi="仿宋"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kern w:val="0"/>
                <w:sz w:val="24"/>
              </w:rPr>
            </w:pPr>
            <w:r>
              <w:rPr>
                <w:rFonts w:ascii="仿宋" w:eastAsia="仿宋" w:hAnsi="仿宋" w:cs="仿宋" w:hint="eastAsia"/>
                <w:kern w:val="0"/>
                <w:sz w:val="24"/>
              </w:rPr>
              <w:t>0.00</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pPr>
              <w:adjustRightInd w:val="0"/>
              <w:snapToGrid w:val="0"/>
              <w:jc w:val="center"/>
              <w:rPr>
                <w:rFonts w:ascii="仿宋" w:eastAsia="仿宋" w:hAnsi="仿宋" w:cs="仿宋"/>
                <w:sz w:val="24"/>
              </w:rPr>
            </w:pPr>
            <w:r>
              <w:rPr>
                <w:rFonts w:ascii="仿宋" w:eastAsia="仿宋" w:hAnsi="仿宋" w:cs="仿宋" w:hint="eastAsia"/>
                <w:sz w:val="24"/>
              </w:rPr>
              <w:t>3</w:t>
            </w:r>
          </w:p>
        </w:tc>
        <w:tc>
          <w:tcPr>
            <w:tcW w:w="3167"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其他</w:t>
            </w:r>
          </w:p>
        </w:tc>
        <w:tc>
          <w:tcPr>
            <w:tcW w:w="2433"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kern w:val="0"/>
                <w:sz w:val="24"/>
              </w:rPr>
            </w:pPr>
            <w:r>
              <w:rPr>
                <w:rFonts w:ascii="仿宋" w:eastAsia="仿宋" w:hAnsi="仿宋"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kern w:val="0"/>
                <w:sz w:val="24"/>
              </w:rPr>
            </w:pPr>
            <w:r>
              <w:rPr>
                <w:rFonts w:ascii="仿宋" w:eastAsia="仿宋" w:hAnsi="仿宋" w:cs="仿宋" w:hint="eastAsia"/>
                <w:kern w:val="0"/>
                <w:sz w:val="24"/>
              </w:rPr>
              <w:t>0.00</w:t>
            </w:r>
          </w:p>
        </w:tc>
      </w:tr>
    </w:tbl>
    <w:p w:rsidR="0014030B">
      <w:pPr>
        <w:adjustRightInd w:val="0"/>
        <w:snapToGrid w:val="0"/>
        <w:spacing w:line="440" w:lineRule="exact"/>
        <w:outlineLvl w:val="2"/>
        <w:rPr>
          <w:rFonts w:ascii="仿宋" w:eastAsia="仿宋" w:hAnsi="仿宋" w:cs="仿宋"/>
          <w:b/>
          <w:sz w:val="24"/>
        </w:rPr>
      </w:pPr>
      <w:bookmarkStart w:id="15" w:name="_Toc481074947"/>
      <w:bookmarkStart w:id="16" w:name="_Toc763043656"/>
      <w:r>
        <w:rPr>
          <w:rFonts w:ascii="仿宋" w:eastAsia="仿宋" w:hAnsi="仿宋" w:cs="仿宋" w:hint="eastAsia"/>
          <w:b/>
          <w:sz w:val="24"/>
        </w:rPr>
        <w:t>4.</w:t>
      </w:r>
      <w:r>
        <w:rPr>
          <w:rFonts w:ascii="仿宋" w:eastAsia="仿宋" w:hAnsi="仿宋" w:cs="仿宋"/>
          <w:b/>
          <w:sz w:val="24"/>
        </w:rPr>
        <w:t>7</w:t>
      </w:r>
      <w:r>
        <w:rPr>
          <w:rFonts w:ascii="仿宋" w:eastAsia="仿宋" w:hAnsi="仿宋" w:cs="仿宋" w:hint="eastAsia"/>
          <w:b/>
          <w:sz w:val="24"/>
        </w:rPr>
        <w:t>报告期末投资非标准化债权资产</w:t>
      </w:r>
      <w:bookmarkEnd w:id="15"/>
      <w:r>
        <w:rPr>
          <w:rFonts w:ascii="仿宋" w:eastAsia="仿宋" w:hAnsi="仿宋" w:cs="仿宋" w:hint="eastAsia"/>
          <w:b/>
          <w:sz w:val="24"/>
        </w:rPr>
        <w:t>情况</w:t>
      </w:r>
      <w:bookmarkEnd w:id="16"/>
    </w:p>
    <w:p w:rsidR="0014030B">
      <w:pPr>
        <w:adjustRightInd w:val="0"/>
        <w:snapToGrid w:val="0"/>
        <w:spacing w:line="440" w:lineRule="exact"/>
        <w:ind w:firstLine="6240" w:firstLineChars="2600"/>
        <w:jc w:val="right"/>
        <w:rPr>
          <w:rFonts w:ascii="仿宋" w:eastAsia="仿宋" w:hAnsi="仿宋" w:cs="仿宋"/>
          <w:sz w:val="24"/>
        </w:rPr>
      </w:pPr>
      <w:r>
        <w:rPr>
          <w:rFonts w:ascii="仿宋" w:eastAsia="仿宋" w:hAnsi="仿宋" w:cs="仿宋" w:hint="eastAsia"/>
          <w:sz w:val="24"/>
        </w:rPr>
        <w:t>单位：</w:t>
      </w:r>
      <w:r>
        <w:rPr>
          <w:rFonts w:ascii="仿宋" w:eastAsia="仿宋" w:hAnsi="仿宋" w:cs="仿宋"/>
          <w:sz w:val="24"/>
        </w:rPr>
        <w:t>人民币元</w:t>
      </w:r>
    </w:p>
    <w:tbl>
      <w:tblPr>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
        <w:gridCol w:w="1330"/>
        <w:gridCol w:w="1569"/>
        <w:gridCol w:w="1041"/>
        <w:gridCol w:w="1833"/>
        <w:gridCol w:w="802"/>
        <w:gridCol w:w="970"/>
        <w:gridCol w:w="815"/>
      </w:tblGrid>
      <w:tr>
        <w:tblPrEx>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 xml:space="preserve">序号 </w:t>
            </w:r>
          </w:p>
        </w:tc>
        <w:tc>
          <w:tcPr>
            <w:tcW w:w="1330"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融资客户</w:t>
            </w:r>
          </w:p>
        </w:tc>
        <w:tc>
          <w:tcPr>
            <w:tcW w:w="1569"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项目名称</w:t>
            </w:r>
          </w:p>
        </w:tc>
        <w:tc>
          <w:tcPr>
            <w:tcW w:w="1041"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资产到期日</w:t>
            </w:r>
          </w:p>
        </w:tc>
        <w:tc>
          <w:tcPr>
            <w:tcW w:w="1833"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资产价值（</w:t>
            </w:r>
            <w:r>
              <w:rPr>
                <w:rFonts w:ascii="仿宋" w:eastAsia="仿宋" w:hAnsi="仿宋" w:cs="仿宋"/>
                <w:sz w:val="24"/>
              </w:rPr>
              <w:t>元</w:t>
            </w:r>
            <w:r>
              <w:rPr>
                <w:rFonts w:ascii="仿宋" w:eastAsia="仿宋" w:hAnsi="仿宋" w:cs="仿宋"/>
                <w:sz w:val="24"/>
              </w:rPr>
              <w:t>）</w:t>
            </w:r>
          </w:p>
        </w:tc>
        <w:tc>
          <w:tcPr>
            <w:tcW w:w="802"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交易结构</w:t>
            </w:r>
          </w:p>
        </w:tc>
        <w:tc>
          <w:tcPr>
            <w:tcW w:w="970"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color w:val="FF0000"/>
                <w:sz w:val="24"/>
              </w:rPr>
            </w:pPr>
            <w:r>
              <w:rPr>
                <w:rFonts w:ascii="仿宋" w:eastAsia="仿宋" w:hAnsi="仿宋" w:cs="仿宋" w:hint="eastAsia"/>
                <w:sz w:val="24"/>
              </w:rPr>
              <w:t>收益分配方式</w:t>
            </w:r>
          </w:p>
        </w:tc>
        <w:tc>
          <w:tcPr>
            <w:tcW w:w="815" w:type="dxa"/>
            <w:tcBorders>
              <w:top w:val="single" w:sz="4" w:space="0" w:color="auto"/>
              <w:left w:val="single" w:sz="4" w:space="0" w:color="auto"/>
              <w:bottom w:val="single" w:sz="4" w:space="0" w:color="auto"/>
              <w:right w:val="single" w:sz="4" w:space="0" w:color="auto"/>
            </w:tcBorders>
            <w:vAlign w:val="center"/>
          </w:tcPr>
          <w:p w:rsidR="0014030B">
            <w:pPr>
              <w:adjustRightInd w:val="0"/>
              <w:snapToGrid w:val="0"/>
              <w:jc w:val="center"/>
              <w:rPr>
                <w:rFonts w:ascii="仿宋" w:eastAsia="仿宋" w:hAnsi="仿宋" w:cs="仿宋"/>
                <w:sz w:val="24"/>
              </w:rPr>
            </w:pPr>
            <w:r>
              <w:rPr>
                <w:rFonts w:ascii="仿宋" w:eastAsia="仿宋" w:hAnsi="仿宋" w:cs="仿宋" w:hint="eastAsia"/>
                <w:sz w:val="24"/>
              </w:rPr>
              <w:t>风险状况</w:t>
            </w:r>
          </w:p>
        </w:tc>
      </w:tr>
    </w:tbl>
    <w:p w:rsidR="0014030B">
      <w:pPr>
        <w:adjustRightInd w:val="0"/>
        <w:snapToGrid w:val="0"/>
        <w:spacing w:line="380" w:lineRule="exact"/>
        <w:rPr>
          <w:rFonts w:ascii="仿宋" w:eastAsia="仿宋" w:hAnsi="仿宋" w:cs="仿宋"/>
          <w:color w:val="0000FF"/>
          <w:kern w:val="0"/>
          <w:sz w:val="24"/>
          <w:highlight w:val="yellow"/>
        </w:rPr>
      </w:pPr>
    </w:p>
    <w:p w:rsidR="0014030B">
      <w:pPr>
        <w:pStyle w:val="Heading2"/>
        <w:adjustRightInd w:val="0"/>
        <w:snapToGrid w:val="0"/>
        <w:spacing w:line="560" w:lineRule="exact"/>
        <w:jc w:val="center"/>
        <w:rPr>
          <w:rFonts w:ascii="仿宋" w:eastAsia="仿宋" w:hAnsi="仿宋" w:cs="仿宋"/>
          <w:sz w:val="24"/>
        </w:rPr>
      </w:pPr>
      <w:bookmarkStart w:id="17" w:name="_Toc1849870155"/>
      <w:r>
        <w:rPr>
          <w:rFonts w:ascii="仿宋" w:eastAsia="仿宋" w:hAnsi="仿宋" w:cs="仿宋" w:hint="eastAsia"/>
          <w:sz w:val="24"/>
        </w:rPr>
        <w:t>§5 产品份额变动</w:t>
      </w:r>
      <w:bookmarkEnd w:id="17"/>
    </w:p>
    <w:p w:rsidR="0014030B">
      <w:pPr>
        <w:adjustRightInd w:val="0"/>
        <w:snapToGrid w:val="0"/>
        <w:spacing w:line="440" w:lineRule="exact"/>
        <w:ind w:firstLine="6240" w:firstLineChars="2600"/>
        <w:jc w:val="right"/>
        <w:rPr>
          <w:rFonts w:ascii="仿宋" w:eastAsia="仿宋" w:hAnsi="仿宋" w:cs="仿宋"/>
          <w:sz w:val="24"/>
        </w:rPr>
      </w:pPr>
      <w:r>
        <w:rPr>
          <w:rFonts w:ascii="仿宋" w:eastAsia="仿宋" w:hAnsi="仿宋" w:cs="仿宋" w:hint="eastAsia"/>
          <w:sz w:val="24"/>
        </w:rPr>
        <w:t>单位：份</w:t>
      </w:r>
    </w:p>
    <w:tbl>
      <w:tblPr>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1"/>
        <w:gridCol w:w="4596"/>
      </w:tblGrid>
      <w:tr>
        <w:tblPrEx>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14030B">
            <w:pPr>
              <w:adjustRightInd w:val="0"/>
              <w:snapToGrid w:val="0"/>
              <w:rPr>
                <w:rFonts w:ascii="仿宋" w:eastAsia="仿宋" w:hAnsi="仿宋" w:cs="仿宋"/>
                <w:color w:val="000000"/>
                <w:sz w:val="24"/>
              </w:rPr>
            </w:pPr>
            <w:r>
              <w:rPr>
                <w:rFonts w:ascii="仿宋" w:eastAsia="仿宋" w:hAnsi="仿宋" w:cs="仿宋" w:hint="eastAsia"/>
                <w:color w:val="000000"/>
                <w:sz w:val="24"/>
              </w:rPr>
              <w:t>报告期期初产品份额总额</w:t>
            </w:r>
          </w:p>
        </w:tc>
        <w:tc>
          <w:tcPr>
            <w:tcW w:w="4596" w:type="dxa"/>
            <w:tcBorders>
              <w:top w:val="single" w:sz="4" w:space="0" w:color="auto"/>
              <w:left w:val="single" w:sz="4" w:space="0" w:color="auto"/>
              <w:bottom w:val="single" w:sz="4" w:space="0" w:color="auto"/>
              <w:right w:val="single" w:sz="4" w:space="0" w:color="auto"/>
            </w:tcBorders>
          </w:tcPr>
          <w:p w:rsidR="0014030B">
            <w:pPr>
              <w:adjustRightInd w:val="0"/>
              <w:snapToGrid w:val="0"/>
              <w:jc w:val="right"/>
              <w:rPr>
                <w:rFonts w:ascii="仿宋" w:eastAsia="仿宋" w:hAnsi="仿宋" w:cs="仿宋"/>
                <w:color w:val="000000"/>
                <w:sz w:val="24"/>
              </w:rPr>
            </w:pPr>
            <w:r>
              <w:rPr>
                <w:rFonts w:ascii="仿宋" w:eastAsia="仿宋" w:hAnsi="仿宋" w:cs="仿宋" w:hint="eastAsia"/>
                <w:color w:val="000000"/>
                <w:sz w:val="24"/>
              </w:rPr>
              <w:t>9,578,175,320.45</w:t>
            </w:r>
          </w:p>
        </w:tc>
      </w:tr>
      <w:tr>
        <w:tblPrEx>
          <w:tblW w:w="8987" w:type="dxa"/>
          <w:tblInd w:w="79" w:type="dxa"/>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14030B">
            <w:pPr>
              <w:adjustRightInd w:val="0"/>
              <w:snapToGrid w:val="0"/>
              <w:rPr>
                <w:rFonts w:ascii="仿宋" w:eastAsia="仿宋" w:hAnsi="仿宋" w:cs="仿宋"/>
                <w:color w:val="000000"/>
                <w:sz w:val="24"/>
              </w:rPr>
            </w:pPr>
            <w:r>
              <w:rPr>
                <w:rFonts w:ascii="仿宋" w:eastAsia="仿宋" w:hAnsi="仿宋" w:cs="仿宋" w:hint="eastAsia"/>
                <w:color w:val="000000"/>
                <w:sz w:val="24"/>
              </w:rPr>
              <w:t>报告期期末产品份额总额</w:t>
            </w:r>
          </w:p>
        </w:tc>
        <w:tc>
          <w:tcPr>
            <w:tcW w:w="4596" w:type="dxa"/>
            <w:tcBorders>
              <w:top w:val="single" w:sz="4" w:space="0" w:color="auto"/>
              <w:left w:val="single" w:sz="4" w:space="0" w:color="auto"/>
              <w:bottom w:val="single" w:sz="4" w:space="0" w:color="auto"/>
              <w:right w:val="single" w:sz="4" w:space="0" w:color="auto"/>
            </w:tcBorders>
          </w:tcPr>
          <w:p w:rsidR="0014030B">
            <w:pPr>
              <w:adjustRightInd w:val="0"/>
              <w:snapToGrid w:val="0"/>
              <w:jc w:val="right"/>
              <w:rPr>
                <w:rFonts w:ascii="仿宋" w:eastAsia="仿宋" w:hAnsi="仿宋" w:cs="仿宋"/>
                <w:color w:val="000000"/>
                <w:sz w:val="24"/>
              </w:rPr>
            </w:pPr>
            <w:r>
              <w:rPr>
                <w:rFonts w:ascii="仿宋" w:eastAsia="仿宋" w:hAnsi="仿宋" w:cs="仿宋" w:hint="eastAsia"/>
                <w:color w:val="000000"/>
                <w:sz w:val="24"/>
              </w:rPr>
              <w:t>7,927,638,534.80</w:t>
            </w:r>
          </w:p>
        </w:tc>
      </w:tr>
    </w:tbl>
    <w:p w:rsidR="0014030B">
      <w:pPr>
        <w:widowControl/>
        <w:adjustRightInd w:val="0"/>
        <w:snapToGrid w:val="0"/>
        <w:jc w:val="left"/>
        <w:rPr>
          <w:rFonts w:ascii="仿宋" w:eastAsia="仿宋" w:hAnsi="仿宋" w:cs="仿宋"/>
          <w:color w:val="404040"/>
          <w:kern w:val="0"/>
          <w:sz w:val="24"/>
        </w:rPr>
      </w:pPr>
    </w:p>
    <w:p w:rsidR="0014030B">
      <w:pPr>
        <w:pStyle w:val="Heading2"/>
        <w:adjustRightInd w:val="0"/>
        <w:snapToGrid w:val="0"/>
        <w:spacing w:line="560" w:lineRule="exact"/>
        <w:jc w:val="center"/>
        <w:rPr>
          <w:rFonts w:ascii="仿宋" w:eastAsia="仿宋" w:hAnsi="仿宋" w:cs="仿宋"/>
          <w:sz w:val="24"/>
        </w:rPr>
      </w:pPr>
      <w:bookmarkStart w:id="18" w:name="_Toc1646937466"/>
      <w:r>
        <w:rPr>
          <w:rFonts w:ascii="仿宋" w:eastAsia="仿宋" w:hAnsi="仿宋" w:cs="仿宋" w:hint="eastAsia"/>
          <w:sz w:val="24"/>
        </w:rPr>
        <w:t>§6 托管人报告</w:t>
      </w:r>
      <w:bookmarkEnd w:id="18"/>
    </w:p>
    <w:p w:rsidR="0014030B">
      <w:pPr>
        <w:adjustRightInd w:val="0"/>
        <w:snapToGrid w:val="0"/>
        <w:spacing w:line="420" w:lineRule="exact"/>
        <w:ind w:firstLine="480" w:firstLineChars="200"/>
        <w:rPr>
          <w:rFonts w:ascii="仿宋" w:eastAsia="仿宋" w:hAnsi="仿宋" w:cs="仿宋"/>
          <w:sz w:val="24"/>
        </w:rPr>
      </w:pPr>
      <w:r>
        <w:rPr>
          <w:rFonts w:ascii="仿宋" w:eastAsia="仿宋" w:hAnsi="仿宋" w:cs="仿宋" w:hint="eastAsia"/>
          <w:sz w:val="24"/>
        </w:rPr>
        <w:t>本报告期内，</w:t>
      </w:r>
      <w:r>
        <w:rPr>
          <w:rFonts w:ascii="仿宋" w:eastAsia="仿宋" w:hAnsi="仿宋" w:cs="仿宋"/>
          <w:sz w:val="24"/>
        </w:rPr>
        <w:t>杭州银行股份有限公司</w:t>
      </w:r>
      <w:r>
        <w:rPr>
          <w:rFonts w:ascii="仿宋" w:eastAsia="仿宋" w:hAnsi="仿宋" w:cs="仿宋" w:hint="eastAsia"/>
          <w:sz w:val="24"/>
        </w:rPr>
        <w:t>（以下简称“本托管人”）在对本产品的托管过程中，严格遵守了《关于规范金融机构资产管理业务的指导意见》《商业银行理财业务监督管理办法》《商业银行理财子公司管理办法》等相关法律法规、托管协议的规定，依法安全保管了本产品的全部资产，对本产品的投资运作进行了认真、独立的会计核算和必要的投资监督，没有从事任何损害产品份额持有人利益的行为，诚实信用、勤勉尽责地履行了托管人应尽的义务。</w:t>
      </w:r>
    </w:p>
    <w:p w:rsidR="0014030B">
      <w:pPr>
        <w:adjustRightInd w:val="0"/>
        <w:snapToGrid w:val="0"/>
        <w:spacing w:line="420" w:lineRule="exact"/>
        <w:ind w:firstLine="480" w:firstLineChars="200"/>
        <w:rPr>
          <w:rFonts w:ascii="仿宋" w:eastAsia="仿宋" w:hAnsi="仿宋" w:cs="仿宋"/>
          <w:sz w:val="24"/>
        </w:rPr>
      </w:pPr>
      <w:r>
        <w:rPr>
          <w:rFonts w:ascii="仿宋" w:eastAsia="仿宋" w:hAnsi="仿宋" w:cs="仿宋" w:hint="eastAsia"/>
          <w:sz w:val="24"/>
        </w:rPr>
        <w:t>本托管人复核了本产品报告中的财务指标、净值表现和投资组合报告等内容。经复核，本产品报告中披露的理财产品财务数据核对一致。</w:t>
      </w:r>
    </w:p>
    <w:p w:rsidR="0014030B">
      <w:pPr>
        <w:adjustRightInd w:val="0"/>
        <w:snapToGrid w:val="0"/>
        <w:rPr>
          <w:rFonts w:ascii="仿宋" w:eastAsia="仿宋" w:hAnsi="仿宋" w:cs="仿宋"/>
          <w:bCs/>
          <w:sz w:val="24"/>
        </w:rPr>
      </w:pPr>
    </w:p>
    <w:p w:rsidR="0014030B">
      <w:pPr>
        <w:pStyle w:val="Heading2"/>
        <w:adjustRightInd w:val="0"/>
        <w:snapToGrid w:val="0"/>
        <w:spacing w:line="560" w:lineRule="exact"/>
        <w:jc w:val="center"/>
        <w:rPr>
          <w:rFonts w:ascii="仿宋" w:eastAsia="仿宋" w:hAnsi="仿宋" w:cs="仿宋"/>
          <w:sz w:val="24"/>
        </w:rPr>
      </w:pPr>
      <w:bookmarkStart w:id="19" w:name="_Toc1161264879"/>
      <w:r>
        <w:rPr>
          <w:rFonts w:ascii="仿宋" w:eastAsia="仿宋" w:hAnsi="仿宋" w:cs="仿宋" w:hint="eastAsia"/>
          <w:sz w:val="24"/>
        </w:rPr>
        <w:t>§7 报告期内关联交易情况</w:t>
      </w:r>
      <w:bookmarkEnd w:id="19"/>
    </w:p>
    <w:p w:rsidR="0014030B">
      <w:pPr>
        <w:adjustRightInd w:val="0"/>
        <w:snapToGrid w:val="0"/>
        <w:spacing w:line="440" w:lineRule="exact"/>
        <w:outlineLvl w:val="2"/>
        <w:rPr>
          <w:rFonts w:ascii="仿宋" w:eastAsia="仿宋" w:hAnsi="仿宋" w:cs="仿宋"/>
          <w:b/>
          <w:sz w:val="24"/>
        </w:rPr>
      </w:pPr>
      <w:bookmarkStart w:id="20" w:name="_Toc1047437417"/>
      <w:r>
        <w:rPr>
          <w:rFonts w:ascii="仿宋" w:eastAsia="仿宋" w:hAnsi="仿宋" w:cs="仿宋" w:hint="eastAsia"/>
          <w:b/>
          <w:sz w:val="24"/>
        </w:rPr>
        <w:t>7.1 产品投资于关联</w:t>
      </w:r>
      <w:r>
        <w:rPr>
          <w:rFonts w:ascii="仿宋" w:eastAsia="仿宋" w:hAnsi="仿宋" w:cs="仿宋" w:hint="eastAsia"/>
          <w:b/>
          <w:sz w:val="24"/>
        </w:rPr>
        <w:t>方发行</w:t>
      </w:r>
      <w:r>
        <w:rPr>
          <w:rFonts w:ascii="仿宋" w:eastAsia="仿宋" w:hAnsi="仿宋" w:cs="仿宋" w:hint="eastAsia"/>
          <w:b/>
          <w:sz w:val="24"/>
        </w:rPr>
        <w:t>或承销的证券、资产管理产品，或其他关联交易</w:t>
      </w:r>
      <w:bookmarkEnd w:id="20"/>
    </w:p>
    <w:p w:rsidR="0014030B">
      <w:pPr>
        <w:adjustRightInd w:val="0"/>
        <w:snapToGrid w:val="0"/>
        <w:spacing w:line="440" w:lineRule="exact"/>
        <w:ind w:firstLine="6240" w:firstLineChars="2600"/>
        <w:jc w:val="right"/>
        <w:rPr>
          <w:rFonts w:ascii="仿宋" w:eastAsia="仿宋" w:hAnsi="仿宋" w:cs="仿宋"/>
          <w:b/>
          <w:sz w:val="24"/>
        </w:rPr>
      </w:pPr>
      <w:r>
        <w:rPr>
          <w:rFonts w:ascii="仿宋" w:eastAsia="仿宋" w:hAnsi="仿宋" w:cs="仿宋" w:hint="eastAsia"/>
          <w:sz w:val="24"/>
        </w:rPr>
        <w:t>单位：</w:t>
      </w:r>
      <w:r>
        <w:rPr>
          <w:rFonts w:ascii="仿宋" w:eastAsia="仿宋" w:hAnsi="仿宋" w:cs="仿宋"/>
          <w:sz w:val="24"/>
        </w:rPr>
        <w:t>元</w:t>
      </w:r>
      <w:r>
        <w:rPr>
          <w:rFonts w:ascii="仿宋" w:eastAsia="仿宋" w:hAnsi="仿宋" w:cs="仿宋"/>
          <w:sz w:val="24"/>
        </w:rPr>
        <w:t>、份</w:t>
      </w:r>
    </w:p>
    <w:tbl>
      <w:tblPr>
        <w:tblStyle w:val="TableGrid"/>
        <w:tblW w:w="8994" w:type="dxa"/>
        <w:tblInd w:w="67" w:type="dxa"/>
        <w:tblLayout w:type="fixed"/>
        <w:tblLook w:val="04A0"/>
      </w:tblPr>
      <w:tblGrid>
        <w:gridCol w:w="634"/>
        <w:gridCol w:w="1605"/>
        <w:gridCol w:w="1401"/>
        <w:gridCol w:w="791"/>
        <w:gridCol w:w="754"/>
        <w:gridCol w:w="1904"/>
        <w:gridCol w:w="1905"/>
      </w:tblGrid>
      <w:tr>
        <w:tblPrEx>
          <w:tblW w:w="8994" w:type="dxa"/>
          <w:tblInd w:w="67" w:type="dxa"/>
          <w:tblLayout w:type="fixed"/>
          <w:tblLook w:val="04A0"/>
        </w:tblPrEx>
        <w:trPr>
          <w:trHeight w:val="90"/>
        </w:trPr>
        <w:tc>
          <w:tcPr>
            <w:tcW w:w="634" w:type="dxa"/>
            <w:vAlign w:val="center"/>
          </w:tcPr>
          <w:p w:rsidR="0014030B">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序号</w:t>
            </w:r>
          </w:p>
        </w:tc>
        <w:tc>
          <w:tcPr>
            <w:tcW w:w="1605" w:type="dxa"/>
            <w:vAlign w:val="center"/>
          </w:tcPr>
          <w:p w:rsidR="0014030B">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关联方</w:t>
            </w:r>
          </w:p>
        </w:tc>
        <w:tc>
          <w:tcPr>
            <w:tcW w:w="1401" w:type="dxa"/>
            <w:vAlign w:val="center"/>
          </w:tcPr>
          <w:p w:rsidR="0014030B">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资产名称</w:t>
            </w:r>
          </w:p>
        </w:tc>
        <w:tc>
          <w:tcPr>
            <w:tcW w:w="791" w:type="dxa"/>
            <w:vAlign w:val="center"/>
          </w:tcPr>
          <w:p w:rsidR="0014030B">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资产类型</w:t>
            </w:r>
          </w:p>
        </w:tc>
        <w:tc>
          <w:tcPr>
            <w:tcW w:w="754" w:type="dxa"/>
            <w:vAlign w:val="center"/>
          </w:tcPr>
          <w:p w:rsidR="0014030B">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交易类型</w:t>
            </w:r>
          </w:p>
        </w:tc>
        <w:tc>
          <w:tcPr>
            <w:tcW w:w="1904" w:type="dxa"/>
            <w:vAlign w:val="center"/>
          </w:tcPr>
          <w:p w:rsidR="0014030B">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交易金额（</w:t>
            </w:r>
            <w:r>
              <w:rPr>
                <w:rFonts w:ascii="仿宋" w:eastAsia="仿宋" w:hAnsi="仿宋" w:cs="仿宋" w:hint="eastAsia"/>
                <w:sz w:val="24"/>
              </w:rPr>
              <w:t>元</w:t>
            </w:r>
            <w:r>
              <w:rPr>
                <w:rFonts w:ascii="仿宋" w:eastAsia="仿宋" w:hAnsi="仿宋" w:cs="仿宋" w:hint="eastAsia"/>
                <w:color w:val="000000"/>
                <w:kern w:val="0"/>
                <w:sz w:val="24"/>
              </w:rPr>
              <w:t>）</w:t>
            </w:r>
          </w:p>
        </w:tc>
        <w:tc>
          <w:tcPr>
            <w:tcW w:w="1905" w:type="dxa"/>
            <w:vAlign w:val="center"/>
          </w:tcPr>
          <w:p w:rsidR="0014030B">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份额</w:t>
            </w:r>
          </w:p>
        </w:tc>
      </w:tr>
    </w:tbl>
    <w:p w:rsidR="0014030B">
      <w:pPr>
        <w:adjustRightInd w:val="0"/>
        <w:snapToGrid w:val="0"/>
        <w:spacing w:line="440" w:lineRule="exact"/>
        <w:outlineLvl w:val="2"/>
        <w:rPr>
          <w:rFonts w:ascii="仿宋" w:eastAsia="仿宋" w:hAnsi="仿宋" w:cs="仿宋"/>
          <w:b/>
          <w:sz w:val="24"/>
        </w:rPr>
      </w:pPr>
      <w:bookmarkStart w:id="21" w:name="_Toc1357213060"/>
      <w:r>
        <w:rPr>
          <w:rFonts w:ascii="仿宋" w:eastAsia="仿宋" w:hAnsi="仿宋" w:cs="仿宋" w:hint="eastAsia"/>
          <w:b/>
          <w:sz w:val="24"/>
        </w:rPr>
        <w:t>7.2 产品向关联方支付的费用</w:t>
      </w:r>
      <w:bookmarkEnd w:id="21"/>
    </w:p>
    <w:tbl>
      <w:tblPr>
        <w:tblStyle w:val="TableGrid"/>
        <w:tblW w:w="8994" w:type="dxa"/>
        <w:tblInd w:w="67" w:type="dxa"/>
        <w:tblLayout w:type="fixed"/>
        <w:tblLook w:val="04A0"/>
      </w:tblPr>
      <w:tblGrid>
        <w:gridCol w:w="694"/>
        <w:gridCol w:w="2958"/>
        <w:gridCol w:w="2202"/>
        <w:gridCol w:w="3140"/>
      </w:tblGrid>
      <w:tr>
        <w:tblPrEx>
          <w:tblW w:w="8994" w:type="dxa"/>
          <w:tblInd w:w="67" w:type="dxa"/>
          <w:tblLayout w:type="fixed"/>
          <w:tblLook w:val="04A0"/>
        </w:tblPrEx>
        <w:tc>
          <w:tcPr>
            <w:tcW w:w="694" w:type="dxa"/>
          </w:tcPr>
          <w:p w:rsidR="0014030B">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序号</w:t>
            </w:r>
          </w:p>
        </w:tc>
        <w:tc>
          <w:tcPr>
            <w:tcW w:w="2958" w:type="dxa"/>
            <w:vAlign w:val="center"/>
          </w:tcPr>
          <w:p w:rsidR="0014030B">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关联方</w:t>
            </w:r>
          </w:p>
        </w:tc>
        <w:tc>
          <w:tcPr>
            <w:tcW w:w="2202" w:type="dxa"/>
            <w:vAlign w:val="center"/>
          </w:tcPr>
          <w:p w:rsidR="0014030B">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费用类型</w:t>
            </w:r>
          </w:p>
        </w:tc>
        <w:tc>
          <w:tcPr>
            <w:tcW w:w="3140" w:type="dxa"/>
            <w:vAlign w:val="center"/>
          </w:tcPr>
          <w:p w:rsidR="0014030B">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交易金额（</w:t>
            </w:r>
            <w:r>
              <w:rPr>
                <w:rFonts w:ascii="仿宋" w:eastAsia="仿宋" w:hAnsi="仿宋" w:cs="仿宋"/>
                <w:color w:val="000000"/>
                <w:sz w:val="24"/>
              </w:rPr>
              <w:t>元</w:t>
            </w:r>
            <w:r>
              <w:rPr>
                <w:rFonts w:ascii="仿宋" w:eastAsia="仿宋" w:hAnsi="仿宋" w:cs="仿宋"/>
                <w:color w:val="000000"/>
                <w:sz w:val="24"/>
              </w:rPr>
              <w:t>）</w:t>
            </w:r>
          </w:p>
        </w:tc>
      </w:tr>
    </w:tbl>
    <w:p w:rsidR="0014030B">
      <w:pPr>
        <w:widowControl/>
        <w:adjustRightInd w:val="0"/>
        <w:snapToGrid w:val="0"/>
        <w:ind w:firstLine="480" w:firstLineChars="200"/>
        <w:jc w:val="left"/>
        <w:rPr>
          <w:rFonts w:ascii="仿宋" w:eastAsia="仿宋" w:hAnsi="仿宋" w:cs="仿宋"/>
          <w:color w:val="404040"/>
          <w:kern w:val="0"/>
          <w:sz w:val="24"/>
        </w:rPr>
      </w:pPr>
    </w:p>
    <w:p w:rsidR="0014030B">
      <w:pPr>
        <w:pStyle w:val="Heading2"/>
        <w:adjustRightInd w:val="0"/>
        <w:snapToGrid w:val="0"/>
        <w:spacing w:line="560" w:lineRule="atLeast"/>
        <w:jc w:val="center"/>
        <w:rPr>
          <w:rFonts w:ascii="仿宋" w:eastAsia="仿宋" w:hAnsi="仿宋" w:cs="仿宋"/>
          <w:bCs/>
          <w:sz w:val="24"/>
        </w:rPr>
      </w:pPr>
      <w:bookmarkStart w:id="22" w:name="_Toc108600986"/>
      <w:r>
        <w:rPr>
          <w:rFonts w:ascii="仿宋" w:eastAsia="仿宋" w:hAnsi="仿宋" w:cs="仿宋" w:hint="eastAsia"/>
          <w:bCs/>
          <w:sz w:val="24"/>
        </w:rPr>
        <w:t>§</w:t>
      </w:r>
      <w:r>
        <w:rPr>
          <w:rFonts w:ascii="仿宋" w:eastAsia="仿宋" w:hAnsi="仿宋" w:cs="仿宋"/>
          <w:bCs/>
          <w:sz w:val="24"/>
        </w:rPr>
        <w:t>8</w:t>
      </w:r>
      <w:r>
        <w:rPr>
          <w:rFonts w:ascii="仿宋" w:eastAsia="仿宋" w:hAnsi="仿宋" w:cs="仿宋" w:hint="eastAsia"/>
          <w:bCs/>
          <w:sz w:val="24"/>
        </w:rPr>
        <w:t xml:space="preserve"> 投资账户信息</w:t>
      </w:r>
      <w:bookmarkEnd w:id="22"/>
    </w:p>
    <w:p w:rsidR="0014030B"/>
    <w:tbl>
      <w:tblPr>
        <w:tblStyle w:val="TableGrid"/>
        <w:tblW w:w="8983" w:type="dxa"/>
        <w:tblInd w:w="65" w:type="dxa"/>
        <w:tblLayout w:type="fixed"/>
        <w:tblLook w:val="04A0"/>
      </w:tblPr>
      <w:tblGrid>
        <w:gridCol w:w="2487"/>
        <w:gridCol w:w="6496"/>
      </w:tblGrid>
      <w:tr>
        <w:tblPrEx>
          <w:tblW w:w="8983" w:type="dxa"/>
          <w:tblInd w:w="65" w:type="dxa"/>
          <w:tblLayout w:type="fixed"/>
          <w:tblLook w:val="04A0"/>
        </w:tblPrEx>
        <w:trPr>
          <w:trHeight w:val="216"/>
        </w:trPr>
        <w:tc>
          <w:tcPr>
            <w:tcW w:w="2487" w:type="dxa"/>
          </w:tcPr>
          <w:p w:rsidR="0014030B">
            <w:pPr>
              <w:widowControl/>
              <w:adjustRightInd w:val="0"/>
              <w:snapToGrid w:val="0"/>
              <w:jc w:val="left"/>
              <w:rPr>
                <w:rFonts w:ascii="仿宋" w:eastAsia="仿宋" w:hAnsi="仿宋" w:cs="仿宋"/>
                <w:color w:val="000000"/>
                <w:sz w:val="24"/>
              </w:rPr>
            </w:pPr>
            <w:r>
              <w:rPr>
                <w:rFonts w:ascii="仿宋" w:eastAsia="仿宋" w:hAnsi="仿宋" w:cs="仿宋" w:hint="eastAsia"/>
                <w:color w:val="000000"/>
                <w:sz w:val="24"/>
              </w:rPr>
              <w:t>户名</w:t>
            </w:r>
          </w:p>
        </w:tc>
        <w:tc>
          <w:tcPr>
            <w:tcW w:w="6496" w:type="dxa"/>
          </w:tcPr>
          <w:p w:rsidR="0014030B">
            <w:pPr>
              <w:widowControl/>
              <w:adjustRightInd w:val="0"/>
              <w:snapToGrid w:val="0"/>
              <w:jc w:val="left"/>
              <w:rPr>
                <w:rFonts w:ascii="仿宋" w:eastAsia="仿宋" w:hAnsi="仿宋" w:cs="仿宋"/>
                <w:color w:val="000000"/>
                <w:sz w:val="24"/>
              </w:rPr>
            </w:pPr>
            <w:r>
              <w:rPr>
                <w:rFonts w:ascii="仿宋" w:eastAsia="仿宋" w:hAnsi="仿宋" w:cs="仿宋" w:hint="eastAsia"/>
                <w:color w:val="000000"/>
                <w:sz w:val="24"/>
              </w:rPr>
              <w:t>幸福99添益(安享优选)90天持有期理财</w:t>
            </w:r>
          </w:p>
        </w:tc>
      </w:tr>
      <w:tr>
        <w:tblPrEx>
          <w:tblW w:w="8983" w:type="dxa"/>
          <w:tblInd w:w="65" w:type="dxa"/>
          <w:tblLayout w:type="fixed"/>
          <w:tblLook w:val="04A0"/>
        </w:tblPrEx>
        <w:trPr>
          <w:trHeight w:val="179"/>
        </w:trPr>
        <w:tc>
          <w:tcPr>
            <w:tcW w:w="2487" w:type="dxa"/>
          </w:tcPr>
          <w:p w:rsidR="0014030B">
            <w:pPr>
              <w:widowControl/>
              <w:adjustRightInd w:val="0"/>
              <w:snapToGrid w:val="0"/>
              <w:jc w:val="left"/>
              <w:rPr>
                <w:rFonts w:ascii="仿宋" w:eastAsia="仿宋" w:hAnsi="仿宋" w:cs="仿宋"/>
                <w:color w:val="000000"/>
                <w:sz w:val="24"/>
              </w:rPr>
            </w:pPr>
            <w:r>
              <w:rPr>
                <w:rFonts w:ascii="仿宋" w:eastAsia="仿宋" w:hAnsi="仿宋" w:cs="仿宋" w:hint="eastAsia"/>
                <w:color w:val="000000"/>
                <w:sz w:val="24"/>
              </w:rPr>
              <w:t>账号</w:t>
            </w:r>
          </w:p>
        </w:tc>
        <w:tc>
          <w:tcPr>
            <w:tcW w:w="6496" w:type="dxa"/>
          </w:tcPr>
          <w:p w:rsidR="0014030B">
            <w:pPr>
              <w:widowControl/>
              <w:adjustRightInd w:val="0"/>
              <w:snapToGrid w:val="0"/>
              <w:jc w:val="left"/>
              <w:rPr>
                <w:rFonts w:ascii="仿宋" w:eastAsia="仿宋" w:hAnsi="仿宋" w:cs="仿宋"/>
                <w:color w:val="000000"/>
                <w:sz w:val="24"/>
              </w:rPr>
            </w:pPr>
            <w:r>
              <w:rPr>
                <w:rFonts w:ascii="仿宋" w:eastAsia="仿宋" w:hAnsi="仿宋" w:cs="仿宋" w:hint="eastAsia"/>
                <w:color w:val="000000"/>
                <w:sz w:val="24"/>
              </w:rPr>
              <w:t>3301040160015309811-692403</w:t>
            </w:r>
          </w:p>
        </w:tc>
      </w:tr>
      <w:tr>
        <w:tblPrEx>
          <w:tblW w:w="8983" w:type="dxa"/>
          <w:tblInd w:w="65" w:type="dxa"/>
          <w:tblLayout w:type="fixed"/>
          <w:tblLook w:val="04A0"/>
        </w:tblPrEx>
        <w:trPr>
          <w:trHeight w:val="163"/>
        </w:trPr>
        <w:tc>
          <w:tcPr>
            <w:tcW w:w="2487" w:type="dxa"/>
          </w:tcPr>
          <w:p w:rsidR="0014030B">
            <w:pPr>
              <w:widowControl/>
              <w:adjustRightInd w:val="0"/>
              <w:snapToGrid w:val="0"/>
              <w:jc w:val="left"/>
              <w:rPr>
                <w:rFonts w:ascii="仿宋" w:eastAsia="仿宋" w:hAnsi="仿宋" w:cs="仿宋"/>
                <w:color w:val="000000"/>
                <w:sz w:val="24"/>
              </w:rPr>
            </w:pPr>
            <w:r>
              <w:rPr>
                <w:rFonts w:ascii="仿宋" w:eastAsia="仿宋" w:hAnsi="仿宋" w:cs="仿宋" w:hint="eastAsia"/>
                <w:color w:val="000000"/>
                <w:sz w:val="24"/>
              </w:rPr>
              <w:t>开户行</w:t>
            </w:r>
          </w:p>
        </w:tc>
        <w:tc>
          <w:tcPr>
            <w:tcW w:w="6496" w:type="dxa"/>
          </w:tcPr>
          <w:p w:rsidR="0014030B">
            <w:pPr>
              <w:widowControl/>
              <w:adjustRightInd w:val="0"/>
              <w:snapToGrid w:val="0"/>
              <w:jc w:val="left"/>
              <w:rPr>
                <w:rFonts w:ascii="仿宋" w:eastAsia="仿宋" w:hAnsi="仿宋" w:cs="仿宋"/>
                <w:color w:val="000000"/>
                <w:sz w:val="24"/>
              </w:rPr>
            </w:pPr>
            <w:r>
              <w:rPr>
                <w:rFonts w:ascii="仿宋" w:eastAsia="仿宋" w:hAnsi="仿宋" w:cs="仿宋" w:hint="eastAsia"/>
                <w:color w:val="000000"/>
                <w:sz w:val="24"/>
              </w:rPr>
              <w:t>杭州银行总行营业部</w:t>
            </w:r>
          </w:p>
        </w:tc>
      </w:tr>
    </w:tbl>
    <w:p w:rsidR="0014030B">
      <w:pPr>
        <w:widowControl/>
        <w:adjustRightInd w:val="0"/>
        <w:snapToGrid w:val="0"/>
        <w:ind w:firstLine="480" w:firstLineChars="200"/>
        <w:jc w:val="left"/>
        <w:rPr>
          <w:rFonts w:ascii="仿宋" w:eastAsia="仿宋" w:hAnsi="仿宋" w:cs="仿宋"/>
          <w:color w:val="404040"/>
          <w:kern w:val="0"/>
          <w:sz w:val="24"/>
        </w:rPr>
      </w:pPr>
    </w:p>
    <w:p w:rsidR="0014030B">
      <w:pPr>
        <w:ind w:left="360"/>
        <w:jc w:val="right"/>
        <w:rPr>
          <w:rFonts w:ascii="仿宋" w:eastAsia="仿宋" w:hAnsi="仿宋" w:cs="仿宋"/>
          <w:sz w:val="24"/>
        </w:rPr>
      </w:pPr>
    </w:p>
    <w:p w:rsidR="0014030B">
      <w:pPr>
        <w:ind w:left="360"/>
        <w:jc w:val="right"/>
        <w:rPr>
          <w:rFonts w:ascii="仿宋" w:eastAsia="仿宋" w:hAnsi="仿宋" w:cs="仿宋"/>
          <w:sz w:val="24"/>
        </w:rPr>
      </w:pPr>
      <w:r>
        <w:rPr>
          <w:rFonts w:ascii="仿宋" w:eastAsia="仿宋" w:hAnsi="仿宋" w:cs="仿宋" w:hint="eastAsia"/>
          <w:sz w:val="24"/>
        </w:rPr>
        <w:t>杭银理财</w:t>
      </w:r>
      <w:r>
        <w:rPr>
          <w:rFonts w:ascii="仿宋" w:eastAsia="仿宋" w:hAnsi="仿宋" w:cs="仿宋" w:hint="eastAsia"/>
          <w:sz w:val="24"/>
        </w:rPr>
        <w:t>有限责任公司</w:t>
      </w:r>
    </w:p>
    <w:p w:rsidR="0014030B">
      <w:pPr>
        <w:jc w:val="right"/>
        <w:rPr>
          <w:sz w:val="24"/>
        </w:rPr>
      </w:pPr>
      <w:r>
        <w:rPr>
          <w:rFonts w:ascii="仿宋" w:eastAsia="仿宋" w:hAnsi="仿宋" w:cs="仿宋" w:hint="eastAsia"/>
          <w:sz w:val="24"/>
        </w:rPr>
        <w:t>2025年4月15日</w:t>
      </w:r>
    </w:p>
    <w:p w:rsidR="0014030B"/>
    <w:p w:rsidR="0014030B"/>
    <w:sectPr>
      <w:headerReference w:type="default" r:id="rId6"/>
      <w:pgSz w:w="11906" w:h="16838"/>
      <w:pgMar w:top="2551" w:right="1803" w:bottom="2551" w:left="1803" w:header="851" w:footer="992" w:gutter="0"/>
      <w:cols w:space="72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charset w:val="86"/>
    <w:family w:val="roman"/>
    <w:pitch w:val="default"/>
    <w:sig w:usb0="00000000" w:usb1="00000000" w:usb2="00000000" w:usb3="00000000" w:csb0="00040000" w:csb1="00000000"/>
  </w:font>
  <w:font w:name="方正楷体简体">
    <w:altName w:val="宋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30B">
    <w:pPr>
      <w:pStyle w:val="Header"/>
    </w:pPr>
    <w:r>
      <w:rPr>
        <w:noProof/>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43800" cy="10671810"/>
          <wp:effectExtent l="0" t="0" r="0" b="15240"/>
          <wp:wrapNone/>
          <wp:docPr id="1" name="WordPictureWatermark140627" descr="微信图片_20220817144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40627" descr="微信图片_20220817144322"/>
                  <pic:cNvPicPr>
                    <a:picLocks noChangeAspect="1"/>
                  </pic:cNvPicPr>
                </pic:nvPicPr>
                <pic:blipFill>
                  <a:blip xmlns:r="http://schemas.openxmlformats.org/officeDocument/2006/relationships" r:embed="rId1"/>
                  <a:stretch>
                    <a:fillRect/>
                  </a:stretch>
                </pic:blipFill>
                <pic:spPr>
                  <a:xfrm>
                    <a:off x="0" y="0"/>
                    <a:ext cx="7543800" cy="106718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E04"/>
    <w:rsid w:val="AFAD1E65"/>
    <w:rsid w:val="B7F99B83"/>
    <w:rsid w:val="DCF872B1"/>
    <w:rsid w:val="F5F71F57"/>
    <w:rsid w:val="F6F838A1"/>
    <w:rsid w:val="F7FB3A2D"/>
    <w:rsid w:val="FF7F2273"/>
    <w:rsid w:val="FFF2E0ED"/>
    <w:rsid w:val="00017702"/>
    <w:rsid w:val="000F2819"/>
    <w:rsid w:val="00134D0D"/>
    <w:rsid w:val="0014030B"/>
    <w:rsid w:val="001757E3"/>
    <w:rsid w:val="0018698C"/>
    <w:rsid w:val="00193057"/>
    <w:rsid w:val="001F0D85"/>
    <w:rsid w:val="001F6316"/>
    <w:rsid w:val="00205A23"/>
    <w:rsid w:val="002511E7"/>
    <w:rsid w:val="00260BF6"/>
    <w:rsid w:val="002F014C"/>
    <w:rsid w:val="003D3797"/>
    <w:rsid w:val="004458C8"/>
    <w:rsid w:val="00461C5A"/>
    <w:rsid w:val="00475B00"/>
    <w:rsid w:val="005A6D80"/>
    <w:rsid w:val="005F727E"/>
    <w:rsid w:val="006C1F4E"/>
    <w:rsid w:val="006E38F7"/>
    <w:rsid w:val="00701460"/>
    <w:rsid w:val="00761119"/>
    <w:rsid w:val="007D72E4"/>
    <w:rsid w:val="00815E4F"/>
    <w:rsid w:val="0082523D"/>
    <w:rsid w:val="008444DB"/>
    <w:rsid w:val="00886687"/>
    <w:rsid w:val="00990402"/>
    <w:rsid w:val="009F3208"/>
    <w:rsid w:val="00AA1E04"/>
    <w:rsid w:val="00AB1208"/>
    <w:rsid w:val="00B43FDA"/>
    <w:rsid w:val="00BC29D8"/>
    <w:rsid w:val="00C30F1B"/>
    <w:rsid w:val="00CA2B83"/>
    <w:rsid w:val="00CE5B30"/>
    <w:rsid w:val="00D80E27"/>
    <w:rsid w:val="00EE58CB"/>
    <w:rsid w:val="00FB089E"/>
    <w:rsid w:val="0281406F"/>
    <w:rsid w:val="04F90740"/>
    <w:rsid w:val="0B4F5179"/>
    <w:rsid w:val="0D276FB6"/>
    <w:rsid w:val="0F081F97"/>
    <w:rsid w:val="0F1B1610"/>
    <w:rsid w:val="0F467395"/>
    <w:rsid w:val="11B304D2"/>
    <w:rsid w:val="134F425C"/>
    <w:rsid w:val="18306633"/>
    <w:rsid w:val="19015A62"/>
    <w:rsid w:val="1EBA48BA"/>
    <w:rsid w:val="1F1B4E17"/>
    <w:rsid w:val="2406178F"/>
    <w:rsid w:val="2C6C7276"/>
    <w:rsid w:val="2CA7307C"/>
    <w:rsid w:val="30B35F02"/>
    <w:rsid w:val="35CE5CC4"/>
    <w:rsid w:val="39656063"/>
    <w:rsid w:val="3DA52D7D"/>
    <w:rsid w:val="41377245"/>
    <w:rsid w:val="41DC4D17"/>
    <w:rsid w:val="47DE7A2F"/>
    <w:rsid w:val="48D23207"/>
    <w:rsid w:val="4D1E00DE"/>
    <w:rsid w:val="4DEBD764"/>
    <w:rsid w:val="4FB86BC8"/>
    <w:rsid w:val="50895907"/>
    <w:rsid w:val="510B520C"/>
    <w:rsid w:val="51D66B08"/>
    <w:rsid w:val="52C05AE2"/>
    <w:rsid w:val="53197A4B"/>
    <w:rsid w:val="59093C68"/>
    <w:rsid w:val="5A5A130E"/>
    <w:rsid w:val="5C722391"/>
    <w:rsid w:val="6087643C"/>
    <w:rsid w:val="6283238F"/>
    <w:rsid w:val="66953356"/>
    <w:rsid w:val="67272BEB"/>
    <w:rsid w:val="694E5BC9"/>
    <w:rsid w:val="6B9A0CA2"/>
    <w:rsid w:val="6BB637C3"/>
    <w:rsid w:val="6BD40231"/>
    <w:rsid w:val="70496C0D"/>
    <w:rsid w:val="71A85C11"/>
    <w:rsid w:val="7A9E1EC8"/>
    <w:rsid w:val="7ED25C5F"/>
    <w:rsid w:val="7EE22D8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05C7737"/>
  <w15:docId w15:val="{107908E1-047F-426B-A32C-CD733074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paragraph" w:styleId="Heading2">
    <w:name w:val="heading 2"/>
    <w:basedOn w:val="Normal"/>
    <w:next w:val="Normal"/>
    <w:link w:val="2"/>
    <w:unhideWhenUsed/>
    <w:qFormat/>
    <w:pPr>
      <w:keepNext/>
      <w:keepLines/>
      <w:spacing w:line="400" w:lineRule="exact"/>
      <w:jc w:val="left"/>
      <w:outlineLvl w:val="1"/>
    </w:pPr>
    <w:rPr>
      <w:rFonts w:ascii="Arial" w:eastAsia="宋体" w:hAnsi="Arial"/>
      <w:b/>
    </w:rPr>
  </w:style>
  <w:style w:type="paragraph" w:styleId="Heading3">
    <w:name w:val="heading 3"/>
    <w:basedOn w:val="Normal"/>
    <w:next w:val="Normal"/>
    <w:link w:val="3"/>
    <w:unhideWhenUsed/>
    <w:qFormat/>
    <w:pPr>
      <w:keepNext/>
      <w:keepLines/>
      <w:spacing w:line="400" w:lineRule="exact"/>
      <w:jc w:val="left"/>
      <w:outlineLvl w:val="2"/>
    </w:pPr>
    <w:rPr>
      <w:rFonts w:ascii="Times New Roman" w:eastAsia="宋体"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1"/>
    <w:unhideWhenUsed/>
    <w:qFormat/>
    <w:pPr>
      <w:spacing w:after="120"/>
    </w:pPr>
    <w:rPr>
      <w:rFonts w:ascii="Times New Roman" w:eastAsia="方正仿宋简体" w:hAnsi="Times New Roman"/>
      <w:sz w:val="32"/>
      <w:szCs w:val="20"/>
    </w:rPr>
  </w:style>
  <w:style w:type="paragraph" w:styleId="TOC3">
    <w:name w:val="toc 3"/>
    <w:basedOn w:val="Normal"/>
    <w:next w:val="Normal"/>
    <w:uiPriority w:val="39"/>
    <w:unhideWhenUsed/>
    <w:qFormat/>
    <w:pPr>
      <w:ind w:left="840" w:leftChars="400"/>
    </w:pPr>
  </w:style>
  <w:style w:type="paragraph" w:styleId="BalloonText">
    <w:name w:val="Balloon Text"/>
    <w:basedOn w:val="Normal"/>
    <w:link w:val="a0"/>
    <w:uiPriority w:val="99"/>
    <w:unhideWhenUsed/>
    <w:qFormat/>
    <w:rPr>
      <w:sz w:val="18"/>
      <w:szCs w:val="18"/>
    </w:rPr>
  </w:style>
  <w:style w:type="paragraph" w:styleId="Footer">
    <w:name w:val="footer"/>
    <w:basedOn w:val="Normal"/>
    <w:link w:val="a2"/>
    <w:uiPriority w:val="99"/>
    <w:unhideWhenUsed/>
    <w:qFormat/>
    <w:pPr>
      <w:tabs>
        <w:tab w:val="center" w:pos="4153"/>
        <w:tab w:val="right" w:pos="8306"/>
      </w:tabs>
      <w:snapToGrid w:val="0"/>
      <w:jc w:val="left"/>
    </w:pPr>
    <w:rPr>
      <w:sz w:val="18"/>
      <w:szCs w:val="18"/>
    </w:rPr>
  </w:style>
  <w:style w:type="paragraph" w:styleId="Header">
    <w:name w:val="header"/>
    <w:basedOn w:val="Normal"/>
    <w:link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2">
    <w:name w:val="toc 2"/>
    <w:basedOn w:val="Normal"/>
    <w:next w:val="Normal"/>
    <w:uiPriority w:val="39"/>
    <w:unhideWhenUsed/>
    <w:qFormat/>
    <w:pPr>
      <w:ind w:left="420" w:leftChars="200"/>
    </w:pPr>
  </w:style>
  <w:style w:type="paragraph" w:styleId="NormalWeb">
    <w:name w:val="Normal (Web)"/>
    <w:basedOn w:val="Normal"/>
    <w:unhideWhenUsed/>
    <w:qFormat/>
    <w:pPr>
      <w:widowControl/>
      <w:spacing w:before="100" w:beforeAutospacing="1" w:after="100" w:afterAutospacing="1"/>
    </w:pPr>
    <w:rPr>
      <w:rFonts w:ascii="宋体" w:eastAsia="宋体" w:hAnsi="宋体"/>
      <w:kern w:val="0"/>
      <w:sz w:val="24"/>
      <w:szCs w:val="20"/>
    </w:rPr>
  </w:style>
  <w:style w:type="table" w:styleId="TableGrid">
    <w:name w:val="Table Grid"/>
    <w:basedOn w:val="TableNormal"/>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页眉 字符"/>
    <w:basedOn w:val="DefaultParagraphFont"/>
    <w:link w:val="Header"/>
    <w:qFormat/>
    <w:rPr>
      <w:sz w:val="18"/>
    </w:rPr>
  </w:style>
  <w:style w:type="character" w:customStyle="1" w:styleId="3">
    <w:name w:val="标题 3 字符"/>
    <w:basedOn w:val="DefaultParagraphFont"/>
    <w:link w:val="Heading3"/>
    <w:qFormat/>
    <w:rPr>
      <w:rFonts w:ascii="Times New Roman" w:eastAsia="宋体" w:hAnsi="Times New Roman"/>
      <w:b/>
    </w:rPr>
  </w:style>
  <w:style w:type="character" w:customStyle="1" w:styleId="a0">
    <w:name w:val="批注框文本 字符"/>
    <w:basedOn w:val="DefaultParagraphFont"/>
    <w:link w:val="BalloonText"/>
    <w:uiPriority w:val="99"/>
    <w:semiHidden/>
    <w:qFormat/>
    <w:rPr>
      <w:kern w:val="2"/>
      <w:sz w:val="18"/>
      <w:szCs w:val="18"/>
    </w:rPr>
  </w:style>
  <w:style w:type="character" w:customStyle="1" w:styleId="a1">
    <w:name w:val="正文文本 字符"/>
    <w:basedOn w:val="DefaultParagraphFont"/>
    <w:link w:val="BodyText"/>
    <w:qFormat/>
    <w:rPr>
      <w:rFonts w:ascii="Times New Roman" w:eastAsia="方正仿宋简体" w:hAnsi="Times New Roman" w:cs="Times New Roman"/>
      <w:sz w:val="32"/>
      <w:szCs w:val="20"/>
    </w:rPr>
  </w:style>
  <w:style w:type="character" w:customStyle="1" w:styleId="2">
    <w:name w:val="标题 2 字符"/>
    <w:basedOn w:val="DefaultParagraphFont"/>
    <w:link w:val="Heading2"/>
    <w:qFormat/>
    <w:rPr>
      <w:rFonts w:ascii="Arial" w:eastAsia="宋体" w:hAnsi="Arial"/>
      <w:b/>
    </w:rPr>
  </w:style>
  <w:style w:type="character" w:customStyle="1" w:styleId="a2">
    <w:name w:val="页脚 字符"/>
    <w:basedOn w:val="DefaultParagraphFont"/>
    <w:link w:val="Footer"/>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39182B-60BA-445D-BE93-70D7542E8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421</Words>
  <Characters>2403</Characters>
  <Application>Microsoft Office Word</Application>
  <DocSecurity>0</DocSecurity>
  <Lines>20</Lines>
  <Paragraphs>5</Paragraphs>
  <ScaleCrop>false</ScaleCrop>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hspcadmin</cp:lastModifiedBy>
  <cp:revision>28</cp:revision>
  <dcterms:created xsi:type="dcterms:W3CDTF">2023-04-14T06:44:00Z</dcterms:created>
  <dcterms:modified xsi:type="dcterms:W3CDTF">2024-11-11T11:26:00Z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48CAE58F88821DFB686F3364065ABE78_42</vt:lpwstr>
  </property>
  <property fmtid="{D5CDD505-2E9C-101B-9397-08002B2CF9AE}" pid="3" name="KSOProductBuildVer">
    <vt:lpwstr>2052-11.8.2.8411</vt:lpwstr>
  </property>
</Properties>
</file>