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杭银理财幸福99半年添益2018期理财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杭银理财幸福99半年添益2018期理财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TYG6M2018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4.8926%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杭银理财幸福99半年添益2018期理财B款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TYG6M2018B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3.8659%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杭银理财幸福99半年添益2018期理财W款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TYG6M2018W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2025年1月22日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