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幸福99丰裕固收（惠享款）770天25087期理财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3</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2025年10月20日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2025年9月30日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2025年7月1日</w:t>
            </w:r>
            <w:r w:rsidRPr="000064EC">
              <w:rPr>
                <w:rFonts w:asciiTheme="minorEastAsia" w:eastAsiaTheme="minorEastAsia" w:hAnsiTheme="minorEastAsia" w:cs="仿宋" w:hint="eastAsia"/>
                <w:color w:val="404040"/>
                <w:kern w:val="0"/>
                <w:sz w:val="24"/>
              </w:rPr>
              <w:t>起至</w:t>
            </w:r>
            <w:r>
              <w:rPr>
                <w:color w:val="404040"/>
                <w:sz w:val="24"/>
              </w:rPr>
              <w:t>2025年9月30日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幸福99丰裕固收（惠享款）770天25087期理财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FYG25087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Z7002225000138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2025年5月8日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2027年6月17日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2.65-2.95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102,969,829.45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110.90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2025年7月1日</w:t>
            </w:r>
            <w:r w:rsidRPr="000064EC">
              <w:rPr>
                <w:rFonts w:asciiTheme="minorEastAsia" w:eastAsiaTheme="minorEastAsia" w:hAnsiTheme="minorEastAsia" w:cs="仿宋" w:hint="eastAsia"/>
                <w:color w:val="000000"/>
                <w:kern w:val="0"/>
                <w:sz w:val="24"/>
              </w:rPr>
              <w:t>-</w:t>
            </w:r>
            <w:r>
              <w:rPr>
                <w:color w:val="000000"/>
                <w:sz w:val="24"/>
              </w:rPr>
              <w:t>2025年9月30日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102,969,829.45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101,793,384.00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1.0116</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1.0116</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丰裕固收25087期A款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FYG25087A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55,542,296.05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丰裕固收25087期B款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FYG25087B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41,578,929.46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丰裕固收25087期C款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FYG25087C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1.0122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1.0122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4,607,985.75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丰裕固收25087期N款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FYG25087N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1,240,618.19</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丰裕固收25087期A款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丰裕固收25087期B款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丰裕固收25087期C款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丰裕固收25087期N款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三季度以来，受到商品和权益强势行情、机构行为波动的先后冲击影响，债券收益率整体呈震荡上行趋势。利率债收益率在7月和8月以股债跷跷板为主要逻辑，叠加“反内卷交易”，导致调整幅度较大；9月，“公募基金费率新规”影响机构行为，债市延续震荡上行。信用债收益率在三季度同样持续震荡上行，长端大于短端，高信用等级大于低信用等级，二永债大于普信债。信用利差方面，中短久期品种压缩，长久期及超长久期品种走阔。</w:t>
        <w:cr/>
        <w:t>总体来看，三季度债市交易的几条主线逻辑分别是：（1）“反内卷交易”下权益和商品大涨，市场存在“股债跷跷板”，风险偏好影响债市；（2）债券增收增值税变化产生扰动；（3）公募基金费率新规带来的预防性赎回；（4）9月以来，美联储降息，叠加大行提升利率债配置等因素加强了市场对于“宽货币”以及央行买债的预期，债市进入多空对峙的震荡状态。在基本面偏弱、融资需求偏弱的格局仍未发生根本变化的当下，三季度的债市行情受风险偏好、机构行为等影响偏多，后续还需要关注围绕“十五五规划”影响下的政策变化、市场风险偏好变化、海外变化和机构行为。</w:t>
        <w:cr/>
        <w:t>从收益率来看，截至9月30日，10年国债收益率1.8605%，较6月末上行21.36bp；1年期商业银行同业存单收益率1.6650%，较6月末上行3.76bp；3年期AA+城投债收益率2.1218%，较6月末上行22.19bp，3年期AAA商业银行二级资本债收益率2.0807%，较6月末上行24.50bp。本产品主要配置固收类资产，债券部分以信用债为主，久期适中。</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2025年四季度，或将延续震荡格局，收益率持续大幅上行的概率较小。利多方面，目前中长久期品种收益率普遍已达高位，前期的各种政策影响已经被充分定价，票息策略的性价比有所显现，债市多头情绪升高。市场目前基于美联储降息，对后续“宽货币”有预期，不过仍需警惕美国基本面数据的变化以及中美会谈的后续预期变化。利空方面，需关注“十五五规划”可能带来的市场对基本面预期的改善，和政策力度加码的预期和可能；若股市依然强劲，债市可能面临一定压力。下一步债市的方向可能围绕央行买债、债基赎回费率调整、机构行为等因素展开博弈，叠加四季度末各机构博弈心态可能增加，需警惕波动加大的可能。此外，四季度在税期、跨月以及MLF到期等时间点，还需注意资金面不确定性。总体上来说，预期四季度债券收益率维持震荡态势，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24.20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52.21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34.35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73.80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中信信托·新悦187号·绍兴滨海债权投资计划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11,954,315.03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11.61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上海信托-瑞诚54号-慈溪城建信托贷款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10,002,611.04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22淄博城资PPN001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9,391,185.00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9.12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25上饶投资PPN002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9,149,330.71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8.89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中原信托-安盛35期科丰3号-卧龙电驱收益权</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6,495,125.90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6.31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中原信托-安盛35期科丰4号-国邦医药收益权</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6,495,125.90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6.31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粤财信托·宁波鄞开信托贷款（常华129号）</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5,977,755.03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5.81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25上饶投资PPN003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5,078,654.69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4.93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22安吉国控MTN001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4,051,279.18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质押式逆回购(216002-000574)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1,354,757.76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11,004,262.70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10.69</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宁波市鄞开集团有限责任公司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粤财信托·宁波鄞开信托贷款（常华129号）</w:t>
              <w:tab/>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2026-06-01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5,977,755.03</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宁波慈溪城建投资集团有限公司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上海信托-瑞诚54号-慈溪城建信托贷款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2027-05-11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10,002,611.04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绍兴市上虞区国有资本投资运营有限公司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中原信托-安盛35期科丰3号-卧龙电驱收益权</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2027-05-11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6,495,125.90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收/受益权</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绍兴市上虞区国有资本投资运营有限公司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中原信托-安盛35期科丰4号-国邦医药收益权</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2027-05-11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6,495,125.90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收/受益权</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绍兴滨海新区控股集团有限公司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中信信托·新悦187号·绍兴滨海债权投资计划</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2027-06-15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11,954,315.03</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101,793,384.00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101,793,384.00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杭银理财幸福99丰裕固收（惠享款）770天25087期理财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3301040160015309811-5125087</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2025年10月20日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