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幸福99金钱包58号理财D款（长盈款）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幸福99金钱包58号理财D款（长盈款）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JQB2558D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0.03%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2026-03-06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2026年3月4日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