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杭银理财幸福99半年添益2002期理财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杭银理财幸福99半年添益2002期理财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TYG6M2002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4.0291%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4.4575%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3.9482%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4.2883%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杭银理财幸福99半年添益2002期理财B款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TYG6M2002B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3.5424%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3.3485%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杭银理财幸福99半年添益2002期理财W款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TYG6M2002W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2.8407%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2026年3月11日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