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幸福99金钱包63号理财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cs="宋体"/>
          <w:b/>
          <w:sz w:val="24"/>
          <w:highlight w:val="none"/>
        </w:rPr>
      </w:pPr>
      <w:r>
        <w:rPr>
          <w:rFonts w:hint="eastAsia" w:ascii="宋体" w:hAnsi="宋体" w:cs="宋体"/>
          <w:b/>
          <w:kern w:val="2"/>
          <w:sz w:val="24"/>
          <w:szCs w:val="24"/>
          <w:highlight w:val="none"/>
          <w:lang w:val="en-US" w:eastAsia="zh" w:bidi="ar-SA"/>
        </w:rPr>
        <w:tab/>
      </w:r>
      <w:r>
        <w:rPr>
          <w:rFonts w:hint="eastAsia" w:ascii="宋体" w:hAnsi="宋体" w:cs="宋体"/>
          <w:b/>
          <w:sz w:val="24"/>
          <w:highlight w:val="none"/>
          <w:lang w:val="en-US" w:eastAsia="zh-CN"/>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5"/>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cs="宋体"/>
          <w:b/>
          <w:sz w:val="24"/>
          <w:highlight w:val="none"/>
          <w:lang w:eastAsia="zh"/>
        </w:rPr>
        <w:t>现金管理类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R1</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程度低，收益波动小，产品本金安全性高，收益不能实现的可能性很小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〖机构投资者〗以及〖保守型、稳健型、平衡型、成长型、进取型〗的个人投资者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Style w:val="20"/>
        <w:spacing w:line="360" w:lineRule="auto"/>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color w:val="000000"/>
          <w:sz w:val="44"/>
          <w:szCs w:val="44"/>
          <w:highlight w:val="none"/>
          <w:lang w:val="en-US" w:eastAsia="zh-CN" w:bidi="ar-SA"/>
        </w:rPr>
        <w:t>幸福99金钱包63号理财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szCs w:val="24"/>
          <w:highlight w:val="none"/>
        </w:rPr>
      </w:pPr>
      <w:r>
        <w:rPr>
          <w:rFonts w:hint="eastAsia" w:ascii="宋体" w:hAnsi="宋体" w:cs="宋体"/>
          <w:color w:val="000000"/>
          <w:sz w:val="24"/>
          <w:szCs w:val="24"/>
          <w:highlight w:val="none"/>
        </w:rPr>
        <w:t>备案编号:</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Z7002226000056</w:t>
      </w:r>
      <w:r>
        <w:rPr>
          <w:rFonts w:hint="eastAsia" w:ascii="宋体" w:hAnsi="宋体" w:cs="宋体"/>
          <w:bCs/>
          <w:sz w:val="24"/>
          <w:szCs w:val="24"/>
          <w:highlight w:val="none"/>
        </w:rPr>
        <w:t>〗</w:t>
      </w:r>
    </w:p>
    <w:p>
      <w:pPr>
        <w:spacing w:line="360" w:lineRule="auto"/>
        <w:jc w:val="center"/>
        <w:rPr>
          <w:rFonts w:hint="eastAsia" w:ascii="宋体" w:hAnsi="宋体" w:cs="宋体"/>
          <w:bCs/>
          <w:sz w:val="24"/>
          <w:szCs w:val="24"/>
          <w:highlight w:val="none"/>
        </w:rPr>
      </w:pPr>
    </w:p>
    <w:p>
      <w:pPr>
        <w:numPr>
          <w:ilvl w:val="0"/>
          <w:numId w:val="8"/>
        </w:numPr>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重要须知</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本理财计划不等同于银行存款、预期收益型理财产品或其他产品。</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本理财计划仅向依据中华人民共和国有关法律法规及本理财计划产品说明书规定可以购买本理财计划的投资者发售。</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9"/>
        </w:numPr>
        <w:spacing w:line="360" w:lineRule="auto"/>
        <w:ind w:firstLine="482" w:firstLineChars="200"/>
        <w:jc w:val="left"/>
        <w:outlineLvl w:val="9"/>
        <w:rPr>
          <w:rFonts w:hint="eastAsia" w:ascii="宋体" w:hAnsi="宋体" w:cs="宋体"/>
          <w:bCs/>
          <w:sz w:val="24"/>
          <w:szCs w:val="24"/>
          <w:highlight w:val="none"/>
        </w:rPr>
      </w:pPr>
      <w:r>
        <w:rPr>
          <w:rFonts w:hint="eastAsia" w:ascii="宋体" w:hAnsi="宋体" w:cs="宋体"/>
          <w:b/>
          <w:sz w:val="24"/>
          <w:szCs w:val="24"/>
          <w:highlight w:val="none"/>
        </w:rPr>
        <w:t>本理财计划是非保本净值型产品。管理人对本理财计划的本金和收益不提供保证承诺。</w:t>
      </w:r>
      <w:r>
        <w:rPr>
          <w:rFonts w:hint="eastAsia" w:ascii="宋体" w:hAnsi="宋体" w:cs="宋体"/>
          <w:bCs/>
          <w:sz w:val="24"/>
          <w:szCs w:val="24"/>
          <w:highlight w:val="none"/>
        </w:rPr>
        <w:t>本理财计划主要风险为理财本金及收益风险，在极端市场情况下，投资者将损失本金，请投资者基于自身的独立判断进行投资决策。</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销售文件。</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投资者在购买本理财计划后，应随时关注本理财计划的信息披露情况，及时获取相关信息。如对本理财计划有任何疑问、异议或意见，请联系管理人或销售机构。</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本理财计划的任何业绩比较基准等类似表述均不具有法律约束性，不代表投资者可能获得的实际收益，不构成管理人对于本理财计划的任何收益承诺。</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管理人承诺以诚实守信、勤勉尽职的原则，根据本理财计划说明书所载要求管理和运用理财计划资产。</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管理人有权依法对本理财计划产品说明书进行解释。</w:t>
      </w:r>
    </w:p>
    <w:p>
      <w:pPr>
        <w:spacing w:line="360" w:lineRule="auto"/>
        <w:jc w:val="left"/>
        <w:rPr>
          <w:rFonts w:hint="eastAsia" w:ascii="宋体" w:hAnsi="宋体" w:cs="宋体"/>
          <w:bCs/>
          <w:highlight w:val="none"/>
        </w:rPr>
      </w:pPr>
    </w:p>
    <w:p>
      <w:pPr>
        <w:numPr>
          <w:ilvl w:val="0"/>
          <w:numId w:val="10"/>
        </w:numPr>
        <w:spacing w:line="360" w:lineRule="auto"/>
        <w:ind w:firstLine="422" w:firstLineChars="200"/>
        <w:jc w:val="left"/>
        <w:outlineLvl w:val="9"/>
        <w:rPr>
          <w:rFonts w:ascii="宋体" w:hAnsi="宋体" w:cs="宋体"/>
          <w:b/>
          <w:highlight w:val="none"/>
        </w:rPr>
      </w:pPr>
      <w:r>
        <w:rPr>
          <w:rFonts w:hint="eastAsia" w:ascii="宋体" w:hAnsi="宋体" w:cs="宋体"/>
          <w:b/>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"http://www.hzbank.com.cn" </w:instrText>
      </w:r>
      <w:r>
        <w:rPr>
          <w:rFonts w:hint="eastAsia" w:ascii="宋体" w:hAnsi="宋体" w:cs="宋体"/>
          <w:bCs/>
          <w:color w:val="auto"/>
          <w:kern w:val="2"/>
          <w:highlight w:val="none"/>
        </w:rPr>
        <w:fldChar w:fldCharType="separate"/>
      </w:r>
      <w:r>
        <w:rPr>
          <w:rFonts w:hint="eastAsia" w:ascii="宋体" w:hAnsi="宋体" w:cs="宋体"/>
          <w:bCs/>
          <w:color w:val="auto"/>
          <w:kern w:val="2"/>
          <w:highlight w:val="none"/>
        </w:rPr>
        <w:t>www.hzbankwealth.com.cn</w:t>
      </w:r>
      <w:r>
        <w:rPr>
          <w:rFonts w:hint="eastAsia" w:ascii="宋体" w:hAnsi="宋体" w:cs="宋体"/>
          <w:bCs/>
          <w:color w:val="auto"/>
          <w:kern w:val="2"/>
          <w:highlight w:val="none"/>
        </w:rPr>
        <w:fldChar w:fldCharType="end"/>
      </w:r>
      <w:r>
        <w:rPr>
          <w:rFonts w:hint="eastAsia" w:ascii="宋体" w:hAnsi="宋体" w:cs="宋体"/>
          <w:bCs/>
          <w:color w:val="auto"/>
          <w:kern w:val="2"/>
          <w:highlight w:val="none"/>
        </w:rPr>
        <w:t>，客服电话400-8950-999。</w:t>
      </w:r>
    </w:p>
    <w:p>
      <w:pPr>
        <w:pStyle w:val="20"/>
        <w:numPr>
          <w:ilvl w:val="0"/>
          <w:numId w:val="12"/>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rPr>
        <w:fldChar w:fldCharType="begin"/>
      </w:r>
      <w:r>
        <w:rPr>
          <w:rFonts w:hint="eastAsia" w:ascii="宋体" w:hAnsi="宋体" w:cs="宋体"/>
          <w:bCs/>
          <w:color w:val="000000"/>
          <w:kern w:val="2"/>
          <w:highlight w:val="none"/>
        </w:rPr>
        <w:instrText xml:space="preserve"> HYPERLINK "http://www.hzbank.com.cn" </w:instrText>
      </w:r>
      <w:r>
        <w:rPr>
          <w:rFonts w:hint="eastAsia" w:ascii="宋体" w:hAnsi="宋体" w:cs="宋体"/>
          <w:bCs/>
          <w:color w:val="000000"/>
          <w:kern w:val="2"/>
          <w:highlight w:val="none"/>
        </w:rPr>
        <w:fldChar w:fldCharType="separate"/>
      </w:r>
      <w:r>
        <w:rPr>
          <w:rFonts w:hint="eastAsia" w:ascii="宋体" w:hAnsi="宋体" w:cs="宋体"/>
          <w:bCs/>
          <w:color w:val="000000"/>
          <w:kern w:val="2"/>
          <w:highlight w:val="none"/>
        </w:rPr>
        <w:t>www.hzbank.com.cn</w:t>
      </w:r>
      <w:r>
        <w:rPr>
          <w:rFonts w:hint="eastAsia" w:ascii="宋体" w:hAnsi="宋体" w:cs="宋体"/>
          <w:bCs/>
          <w:color w:val="000000"/>
          <w:kern w:val="2"/>
          <w:highlight w:val="none"/>
        </w:rPr>
        <w:fldChar w:fldCharType="end"/>
      </w:r>
      <w:r>
        <w:rPr>
          <w:rFonts w:hint="eastAsia" w:ascii="宋体" w:hAnsi="宋体" w:cs="宋体"/>
          <w:bCs/>
          <w:color w:val="000000"/>
          <w:kern w:val="2"/>
          <w:highlight w:val="none"/>
        </w:rPr>
        <w:t>，客服热线为95398。</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国家金融监督管理总局、中国证券监督管理委员会、外汇管理局、银行业理财登记托管中心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color w:val="auto"/>
          <w:kern w:val="2"/>
          <w:highlight w:val="none"/>
        </w:rPr>
        <w:t>合同不可分割组成部分的理财计划销售协议书，以及对该文件的有效修改与补充。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指理财计划赎回开放期内，投资者向管理人进行理财计划份额卖出的行为。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流</w:t>
      </w:r>
      <w:r>
        <w:rPr>
          <w:rFonts w:hint="eastAsia"/>
          <w:b/>
          <w:highlight w:val="none"/>
        </w:rPr>
        <w:t>动性受限资产：</w:t>
      </w:r>
      <w:r>
        <w:rPr>
          <w:rFonts w:hint="eastAsia"/>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b/>
          <w:bCs/>
          <w:highlight w:val="none"/>
        </w:rPr>
        <w:t>7个工作日可变现资产：</w:t>
      </w:r>
      <w:r>
        <w:rPr>
          <w:rFonts w:hint="eastAsia"/>
          <w:highlight w:val="none"/>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5"/>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摆动定价机制：</w:t>
      </w:r>
      <w:r>
        <w:rPr>
          <w:rFonts w:hint="eastAsia" w:ascii="宋体" w:hAnsi="宋体" w:cs="宋体"/>
          <w:bCs/>
          <w:color w:val="auto"/>
          <w:kern w:val="2"/>
          <w:highlight w:val="none"/>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短期赎回费机制：</w:t>
      </w:r>
      <w:r>
        <w:rPr>
          <w:rFonts w:hint="eastAsia" w:ascii="宋体" w:hAnsi="宋体" w:cs="宋体"/>
          <w:bCs/>
          <w:color w:val="auto"/>
          <w:kern w:val="2"/>
          <w:highlight w:val="none"/>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R1</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进取型</w:t>
            </w:r>
          </w:p>
        </w:tc>
      </w:tr>
    </w:tbl>
    <w:p>
      <w:pPr>
        <w:pStyle w:val="20"/>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幸福99金钱包63号理财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eastAsia="宋体" w:cs="宋体"/>
                <w:kern w:val="2"/>
                <w:sz w:val="21"/>
                <w:szCs w:val="21"/>
                <w:highlight w:val="none"/>
                <w:lang w:val="en-US" w:eastAsia="zh-CN" w:bidi="ar-SA"/>
              </w:rPr>
              <w:t>金钱包63号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JQB2663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Z7002226000056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〖机构投资者〗以及〖保守型、稳健型、平衡型、成长型、进取型〗的个人投资者</w:t>
            </w:r>
            <w:r>
              <w:rPr>
                <w:rFonts w:hint="eastAsia" w:ascii="宋体" w:hAnsi="宋体" w:cs="宋体"/>
                <w:b/>
                <w:color w:val="000000"/>
                <w:sz w:val="21"/>
                <w:szCs w:val="21"/>
                <w:highlight w:val="none"/>
              </w:rPr>
              <w:t>。</w:t>
            </w:r>
            <w:r>
              <w:rPr>
                <w:rFonts w:hint="eastAsia" w:ascii="宋体" w:hAnsi="宋体" w:cs="宋体"/>
                <w:bCs/>
                <w:sz w:val="21"/>
                <w:szCs w:val="21"/>
                <w:highlight w:val="none"/>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A份额（长盈款）（销售代码〖JQB2663A〗）：普通个人投资者和机构客户。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B份额（长盈款）（销售代码〖JQB2663B〗）：普通个人投资者和机构客户。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C份额（长盈款）（销售代码〖JQB2663C〗）：普通个人投资者和机构客户。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D份额（长盈款）（销售代码〖JQB2663D〗）：普通个人投资者和机构客户。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E份额（长盈款）（销售代码〖JQB2663E〗）：普通个人投资者和机构客户。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F份额（长盈款）（销售代码〖JQB2663F〗）：普通个人投资者和机构客户。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G份额（销售代码〖JQB2663G〗）：普通个人投资者和机构客户。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H份额（长盈款）（销售代码〖JQB2663H〗）：普通个人投资者和机构客户。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J份额（鑫福款）（销售代码〖JQB2663J〗）：普通个人投资者和机构客户。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K份额（吉行专属长盈款）（销售代码〖JQB2663K〗）：普通个人投资者和机构客户。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N份额（长盈款）（销售代码〖JQB2663N〗）：普通个人投资者和机构客户。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w:t>
            </w:r>
            <w:r>
              <w:rPr>
                <w:rFonts w:hint="eastAsia" w:ascii="宋体" w:hAnsi="宋体" w:cs="宋体"/>
                <w:b w:val="0"/>
                <w:i w:val="0"/>
                <w:caps w:val="0"/>
                <w:strike w:val="0"/>
                <w:dstrike w:val="0"/>
                <w:color w:val="000000"/>
                <w:kern w:val="2"/>
                <w:position w:val="-1"/>
                <w:sz w:val="21"/>
                <w:u w:val="none"/>
                <w:vertAlign w:val="baseline"/>
                <w:lang w:val="en-US" w:eastAsia="zh-CN"/>
              </w:rPr>
              <w:t>招商银行渠道销售代码</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HY100003</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，其他渠道</w:t>
            </w:r>
            <w:r>
              <w:rPr>
                <w:rFonts w:hint="default" w:ascii="宋体" w:hAnsi="宋体" w:eastAsia="宋体" w:cs="宋体"/>
                <w:b w:val="0"/>
                <w:i w:val="0"/>
                <w:caps w:val="0"/>
                <w:strike w:val="0"/>
                <w:dstrike w:val="0"/>
                <w:color w:val="000000"/>
                <w:kern w:val="2"/>
                <w:position w:val="-1"/>
                <w:sz w:val="21"/>
                <w:u w:val="none"/>
                <w:vertAlign w:val="baseline"/>
              </w:rPr>
              <w:t>销售代码〖JQB2663Z〗</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〖现金管理〗</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可通过杭银理财直销渠道和代理销售机构的〖营业网点、网上银行、手机银行〗等渠道购买，通过代理销售机构购买的，具体销售渠道以代理销售机构披露为准。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〖E份额〗起点〖0.01〗元整，超过认购/申购起点部分，应为〖0.01〗元的整数倍。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〖F份额〗起点〖0.01〗元整，超过认购/申购起点部分，应为〖0.01〗元的整数倍。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〖H份额〗起点〖0.01〗元整，超过认购/申购起点部分，应为〖0.01〗元的整数倍。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〖J份额〗起点〖0.01〗元整，超过认购/申购起点部分，应为〖0.01〗元的整数倍。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〖K份额〗起点〖0.01〗元整，超过认购/申购起点部分，应为〖0.01〗元的整数倍。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〖N份额〗起点〖0.01〗元整，超过认购/申购起点部分，应为〖0.01〗元的整数倍。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
              </w:rPr>
              <w:t>000</w:t>
            </w:r>
            <w:r>
              <w:rPr>
                <w:rFonts w:hint="eastAsia" w:ascii="宋体" w:hAnsi="宋体" w:cs="宋体"/>
                <w:sz w:val="21"/>
                <w:szCs w:val="21"/>
                <w:highlight w:val="none"/>
              </w:rPr>
              <w:t>〗</w:t>
            </w:r>
            <w:r>
              <w:rPr>
                <w:rFonts w:hint="eastAsia" w:ascii="宋体" w:hAnsi="宋体" w:cs="宋体"/>
                <w:sz w:val="21"/>
                <w:szCs w:val="21"/>
                <w:highlight w:val="none"/>
                <w:lang w:eastAsia="zh"/>
              </w:rPr>
              <w:t>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开放日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color w:val="000000"/>
                <w:sz w:val="21"/>
                <w:szCs w:val="21"/>
                <w:highlight w:val="none"/>
              </w:rPr>
              <w:t>理财计划封闭期（如有）结束后每个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〗为申购赎回开放日。</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在理财计划存续期内，管理人有权根据市场情况变化暂停申购和赎回申请，具体以管理人公告为准。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1.本理财计划在每个开放日均可进行申购和赎回。其中，工作时间之内的申购和赎回申请将在确认日，即开放日后的第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。工作时间之外的申购和赎回申请，视同为下一工作时间内的预申请。</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2.工作</w:t>
            </w:r>
            <w:bookmarkStart w:id="0" w:name="_GoBack"/>
            <w:bookmarkEnd w:id="0"/>
            <w:r>
              <w:rPr>
                <w:rFonts w:hint="eastAsia" w:ascii="宋体" w:hAnsi="宋体" w:cs="宋体"/>
                <w:color w:val="000000"/>
                <w:sz w:val="21"/>
                <w:szCs w:val="21"/>
                <w:highlight w:val="none"/>
              </w:rPr>
              <w:t>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0</w:t>
            </w:r>
            <w:r>
              <w:rPr>
                <w:rFonts w:hint="eastAsia" w:ascii="宋体" w:hAnsi="宋体" w:cs="宋体"/>
                <w:color w:val="000000"/>
                <w:sz w:val="21"/>
                <w:szCs w:val="21"/>
                <w:highlight w:val="none"/>
              </w:rPr>
              <w:t>:00〗至〖</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eastAsia="宋体" w:cs="宋体"/>
                <w:color w:val="000000"/>
                <w:kern w:val="2"/>
                <w:sz w:val="21"/>
                <w:szCs w:val="21"/>
                <w:lang w:val="en-US" w:eastAsia="zh-CN" w:bidi="ar"/>
              </w:rPr>
              <w:t>(不含)</w:t>
            </w:r>
            <w:r>
              <w:rPr>
                <w:rFonts w:hint="eastAsia" w:ascii="宋体" w:hAnsi="宋体" w:cs="宋体"/>
                <w:bCs/>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3.认购/开放日工作时间内提交的交易申请，在认购期结束日/开放日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color w:val="000000"/>
                <w:kern w:val="0"/>
                <w:sz w:val="21"/>
                <w:szCs w:val="21"/>
                <w:highlight w:val="none"/>
              </w:rPr>
              <w:t>之前可以撤单。（具体以销售机构规定为准）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4.开放日工作时间外提交的预交易申请，在下个开放日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bCs/>
                <w:color w:val="000000"/>
                <w:sz w:val="21"/>
                <w:szCs w:val="21"/>
                <w:highlight w:val="none"/>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A、B、C、D、E、F、G、H、J、K、N份额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〖3〗亿元</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Z份额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〗亿元</w:t>
            </w: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 w:val="21"/>
                <w:szCs w:val="21"/>
                <w:highlight w:val="none"/>
              </w:rPr>
              <w:t>单笔赎回最低份额为〖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，超过部分应为〖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的整数倍。</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2.单户最低存续份额为〖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。受理财收益分配去尾规则的影响，投资者持有理财计划份额较低时可能无法取得收益。</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3.在理财计划存续期内，管理人有权根据市场情况变化调整单户限额比例，具体以管理人公告为准。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4.本理财计划单一投资者持有份额不得超过理财计划总份额的50%，如投资者持有份额超过上述比例，管理人有权不接受上述比例之外的认购/申购申请。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sz w:val="21"/>
                <w:szCs w:val="21"/>
                <w:highlight w:val="none"/>
              </w:rPr>
              <w:t>1元</w:t>
            </w:r>
            <w:r>
              <w:rPr>
                <w:rFonts w:hint="eastAsia" w:ascii="宋体" w:hAnsi="宋体" w:cs="宋体"/>
                <w:bCs/>
                <w:sz w:val="21"/>
                <w:szCs w:val="21"/>
                <w:highlight w:val="none"/>
              </w:rPr>
              <w:t>。申购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 w:val="21"/>
                <w:szCs w:val="21"/>
                <w:highlight w:val="none"/>
              </w:rPr>
            </w:pPr>
            <w:r>
              <w:rPr>
                <w:rFonts w:hint="eastAsia" w:ascii="宋体" w:hAnsi="宋体" w:cs="宋体"/>
                <w:color w:val="000000"/>
                <w:sz w:val="21"/>
                <w:szCs w:val="21"/>
                <w:highlight w:val="none"/>
              </w:rPr>
              <w:t>本理财计划采用1.00元固定单位净值交易方式。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1.如投资者在工作时间内发起赎回申请，赎回资金确认后，最快确认日当日，即赎回申请日后的1个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2.如投资者在工作时间外发起赎回申请，赎回资金确认后，最快确认日当日，即赎回申请日后的2个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3.如遇资金在途或法定工作日调整，实际资金到账日以公告为准。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1.本理财计划不保障本金和收益。收益每日计算，</w:t>
            </w:r>
            <w:r>
              <w:rPr>
                <w:rFonts w:hint="eastAsia" w:ascii="宋体" w:hAnsi="宋体" w:cs="宋体"/>
                <w:sz w:val="21"/>
                <w:szCs w:val="21"/>
                <w:highlight w:val="none"/>
              </w:rPr>
              <w:t>〖</w:t>
            </w:r>
            <w:r>
              <w:rPr>
                <w:rFonts w:hint="eastAsia" w:ascii="宋体" w:hAnsi="宋体" w:cs="宋体"/>
                <w:color w:val="000000"/>
                <w:sz w:val="21"/>
                <w:szCs w:val="21"/>
                <w:highlight w:val="none"/>
              </w:rPr>
              <w:t>按日结转为份额</w:t>
            </w:r>
            <w:r>
              <w:rPr>
                <w:rFonts w:hint="eastAsia" w:ascii="宋体" w:hAnsi="宋体" w:cs="宋体"/>
                <w:sz w:val="21"/>
                <w:szCs w:val="21"/>
                <w:highlight w:val="none"/>
              </w:rPr>
              <w:t>〗。</w:t>
            </w:r>
            <w:r>
              <w:rPr>
                <w:rFonts w:hint="eastAsia" w:ascii="宋体" w:hAnsi="宋体" w:cs="宋体"/>
                <w:color w:val="000000"/>
                <w:sz w:val="21"/>
                <w:szCs w:val="21"/>
                <w:highlight w:val="none"/>
              </w:rPr>
              <w:t>具体分配方案以管理人公告为准。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2.如理财计划出现无法分红的情况，管理人有权暂停本理财计划的申购和赎回申请，具体以管理人公告为准。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〖D份额〗收取年化〖0.20%〗的销售服务费, 〖E份额〗收取年化〖0.20%〗的销售服务费, 〖F份额〗收取年化〖0.25%〗的销售服务费, 〖G份额〗收取年化〖0.30%〗的销售服务费, 〖H份额〗收取年化〖0.20%〗的销售服务费, 〖J份额〗收取年化〖0.20%〗的销售服务费, 〖K份额〗收取年化〖0.20%〗的销售服务费, 〖N份额〗收取年化〖0.20%〗的销售服务费, 〖Z份额〗收取年化〖0.15%〗的销售服务费。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〖D份额〗收取年化〖0.30%〗的固定管理费, 〖E份额〗收取年化〖0.30%〗的固定管理费, 〖F份额〗收取年化〖0.30%〗的固定管理费, 〖G份额〗收取年化〖0.15%〗的固定管理费, 〖H份额〗收取年化〖0.30%〗的固定管理费, 〖J份额〗收取年化〖0.30%〗的固定管理费, 〖K份额〗收取年化〖0.30%〗的固定管理费, 〖N份额〗收取年化〖0.30%〗的固定管理费, 〖Z份额〗收取年化〖0.15%〗的固定管理费。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本理财计划免除赎回费（不包含强制赎回费）。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本理财计划免除浮动管理费。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color w:val="000000"/>
                <w:sz w:val="21"/>
                <w:szCs w:val="21"/>
                <w:highlight w:val="none"/>
              </w:rPr>
              <w:t>8</w:t>
            </w:r>
            <w:r>
              <w:rPr>
                <w:rFonts w:hint="eastAsia" w:ascii="宋体" w:hAnsi="宋体" w:cs="宋体"/>
                <w:color w:val="000000"/>
                <w:sz w:val="21"/>
                <w:szCs w:val="21"/>
                <w:highlight w:val="none"/>
              </w:rPr>
              <w:t>.强制赎回费（如有）：</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szCs w:val="24"/>
          <w:highlight w:val="none"/>
        </w:rPr>
      </w:pPr>
      <w:r>
        <w:rPr>
          <w:rFonts w:hint="eastAsia" w:ascii="宋体" w:hAnsi="宋体"/>
          <w:b/>
          <w:color w:val="000000"/>
          <w:sz w:val="24"/>
          <w:szCs w:val="24"/>
          <w:highlight w:val="none"/>
        </w:rPr>
        <w:t>特别说明：</w:t>
      </w:r>
      <w:r>
        <w:rPr>
          <w:rFonts w:hint="eastAsia" w:ascii="宋体" w:hAnsi="宋体" w:cs="宋体"/>
          <w:b/>
          <w:color w:val="000000"/>
          <w:sz w:val="24"/>
          <w:szCs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szCs w:val="24"/>
          <w:highlight w:val="none"/>
        </w:rPr>
      </w:pPr>
    </w:p>
    <w:p>
      <w:pPr>
        <w:numPr>
          <w:ilvl w:val="0"/>
          <w:numId w:val="18"/>
        </w:numPr>
        <w:spacing w:line="360" w:lineRule="auto"/>
        <w:ind w:firstLine="482" w:firstLineChars="200"/>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投资管理</w:t>
      </w:r>
    </w:p>
    <w:p>
      <w:pPr>
        <w:numPr>
          <w:ilvl w:val="0"/>
          <w:numId w:val="0"/>
        </w:numPr>
        <w:spacing w:line="360" w:lineRule="auto"/>
        <w:ind w:firstLine="480" w:firstLineChars="200"/>
        <w:outlineLvl w:val="9"/>
        <w:rPr>
          <w:rFonts w:hint="eastAsia" w:ascii="宋体" w:hAnsi="宋体" w:cs="宋体"/>
          <w:b/>
          <w:color w:val="000000"/>
          <w:sz w:val="24"/>
          <w:szCs w:val="24"/>
          <w:highlight w:val="none"/>
        </w:rPr>
      </w:pPr>
      <w:r>
        <w:rPr>
          <w:rFonts w:hint="eastAsia" w:ascii="宋体" w:hAnsi="宋体" w:cs="宋体"/>
          <w:bCs/>
          <w:color w:val="auto"/>
          <w:kern w:val="2"/>
          <w:sz w:val="24"/>
          <w:szCs w:val="24"/>
          <w:highlight w:val="none"/>
        </w:rPr>
        <w:t>本理财计划自成立日起</w:t>
      </w:r>
      <w:r>
        <w:rPr>
          <w:rFonts w:hint="eastAsia" w:ascii="宋体" w:hAnsi="宋体" w:eastAsia="宋体" w:cs="宋体"/>
          <w:bCs/>
          <w:color w:val="auto"/>
          <w:kern w:val="2"/>
          <w:sz w:val="24"/>
          <w:szCs w:val="24"/>
          <w:highlight w:val="none"/>
          <w:lang w:val="en-US" w:eastAsia="zh-CN" w:bidi="ar-SA"/>
        </w:rPr>
        <w:t>3个月</w:t>
      </w:r>
      <w:r>
        <w:rPr>
          <w:rFonts w:hint="eastAsia" w:ascii="宋体" w:hAnsi="宋体" w:cs="宋体"/>
          <w:bCs/>
          <w:color w:val="auto"/>
          <w:kern w:val="2"/>
          <w:sz w:val="24"/>
          <w:szCs w:val="24"/>
          <w:highlight w:val="none"/>
        </w:rPr>
        <w:t>为建仓期，管理人应当在建仓期结束前使各项投资比例符合约定。</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投资范围</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本理财计划直接或间接通过资管产品投资于符合监管要求的以下固定收益类资产：</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现金；</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期限</w:t>
      </w:r>
      <w:r>
        <w:rPr>
          <w:rFonts w:hint="eastAsia" w:ascii="宋体" w:hAnsi="宋体" w:cs="宋体"/>
          <w:color w:val="333333"/>
          <w:sz w:val="24"/>
          <w:szCs w:val="24"/>
          <w:highlight w:val="none"/>
          <w:shd w:val="clear" w:color="auto" w:fill="FFFFFF"/>
        </w:rPr>
        <w:t>在1年以内（含1年）的银行存款、债券回购、中央银行票据、同业存单；</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color w:val="333333"/>
          <w:sz w:val="24"/>
          <w:szCs w:val="24"/>
          <w:highlight w:val="none"/>
          <w:shd w:val="clear" w:color="auto" w:fill="FFFFFF"/>
        </w:rPr>
        <w:t>剩余期限在397天以内（含397天）的债券、在银行间市场和证券交易所市场发行的资产支持证券；</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国家金融监督管理总局、中国人民银行认可的其他具有良好流动性的货币市场工具。</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债券的信用等级应当主要参照最近一个会计年度的主体信用评级，如果对发行人同时有两家以上境内评级机构评级的，应当选择使用评级较低、违约概率较大的外部评级结果。管理人将不完全依赖外部评级机构的评级结果，还将结合内部评级进行独立判断和认定。同时，本理财计划与相关交易对手开展买入返售交易的，可接受的合格质押品应当与本理财计划约定的投资范围保持一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投资比例</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本理财计划各投资资产占总资产的配置比例如下：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100%</w:t>
            </w:r>
          </w:p>
        </w:tc>
      </w:tr>
    </w:tbl>
    <w:p>
      <w:pPr>
        <w:pStyle w:val="20"/>
        <w:adjustRightInd/>
        <w:spacing w:line="360" w:lineRule="auto"/>
        <w:ind w:firstLine="456" w:firstLineChars="19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本理财计划特殊资产类型为基于大类资产类型项下的进一步细化分类，其配置比例不得超过大类资产配置比例。</w:t>
      </w:r>
    </w:p>
    <w:p>
      <w:pPr>
        <w:pStyle w:val="20"/>
        <w:adjustRightInd/>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投资策略</w:t>
      </w:r>
    </w:p>
    <w:p>
      <w:pPr>
        <w:pStyle w:val="20"/>
        <w:numPr>
          <w:ilvl w:val="0"/>
          <w:numId w:val="21"/>
        </w:numPr>
        <w:adjustRightInd/>
        <w:spacing w:line="360" w:lineRule="auto"/>
        <w:ind w:firstLine="480" w:firstLineChars="200"/>
        <w:rPr>
          <w:rFonts w:hint="eastAsia" w:ascii="宋体" w:hAnsi="宋体" w:cs="宋体"/>
          <w:bCs/>
          <w:color w:val="000000"/>
          <w:kern w:val="2"/>
          <w:sz w:val="24"/>
          <w:szCs w:val="24"/>
          <w:highlight w:val="none"/>
        </w:rPr>
      </w:pPr>
      <w:r>
        <w:rPr>
          <w:rFonts w:hint="eastAsia" w:ascii="宋体" w:hAnsi="宋体" w:cs="宋体"/>
          <w:bCs/>
          <w:color w:val="000000"/>
          <w:kern w:val="2"/>
          <w:sz w:val="24"/>
          <w:szCs w:val="24"/>
          <w:highlight w:val="none"/>
        </w:rPr>
        <w:t>资产配置策略</w:t>
      </w:r>
    </w:p>
    <w:p>
      <w:pPr>
        <w:pStyle w:val="20"/>
        <w:adjustRightInd/>
        <w:spacing w:line="360" w:lineRule="auto"/>
        <w:ind w:firstLine="480" w:firstLineChars="200"/>
        <w:rPr>
          <w:rFonts w:ascii="宋体" w:cs="宋体"/>
          <w:color w:val="000000"/>
          <w:sz w:val="24"/>
          <w:szCs w:val="24"/>
          <w:highlight w:val="none"/>
        </w:rPr>
      </w:pPr>
      <w:r>
        <w:rPr>
          <w:rFonts w:hint="eastAsia" w:ascii="宋体" w:hAnsi="宋体" w:cs="宋体"/>
          <w:bCs/>
          <w:color w:val="000000"/>
          <w:kern w:val="2"/>
          <w:sz w:val="24"/>
          <w:szCs w:val="24"/>
          <w:highlight w:val="none"/>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2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债券投资策略</w:t>
      </w:r>
    </w:p>
    <w:p>
      <w:pPr>
        <w:pStyle w:val="20"/>
        <w:adjustRightInd/>
        <w:spacing w:line="360" w:lineRule="auto"/>
        <w:ind w:firstLine="480" w:firstLineChars="200"/>
        <w:rPr>
          <w:rFonts w:hint="eastAsia" w:ascii="宋体" w:hAnsi="宋体" w:cs="宋体"/>
          <w:bCs/>
          <w:color w:val="FF0000"/>
          <w:sz w:val="24"/>
          <w:szCs w:val="24"/>
          <w:highlight w:val="none"/>
        </w:rPr>
      </w:pPr>
      <w:r>
        <w:rPr>
          <w:rFonts w:hint="eastAsia" w:ascii="宋体" w:hAnsi="宋体" w:cs="宋体"/>
          <w:bCs/>
          <w:color w:val="000000"/>
          <w:kern w:val="2"/>
          <w:sz w:val="24"/>
          <w:szCs w:val="24"/>
          <w:highlight w:val="none"/>
        </w:rPr>
        <w:t>管理人本着稳健投资的理念，采用安全性和流动性优先、优选投资品种，在资产配置上以较大比例配置投资级别的债券、回购、存放同业等资产，通过组合管理实现稳健收益。</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投资限制</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投向限制</w:t>
      </w:r>
    </w:p>
    <w:p>
      <w:pPr>
        <w:spacing w:line="360" w:lineRule="auto"/>
        <w:ind w:left="420" w:leftChars="200"/>
        <w:jc w:val="left"/>
        <w:rPr>
          <w:rFonts w:ascii="宋体" w:hAnsi="宋体" w:cs="宋体"/>
          <w:bCs/>
          <w:sz w:val="24"/>
          <w:szCs w:val="24"/>
          <w:highlight w:val="none"/>
        </w:rPr>
      </w:pPr>
      <w:r>
        <w:rPr>
          <w:rFonts w:hint="eastAsia" w:ascii="宋体" w:hAnsi="宋体" w:cs="宋体"/>
          <w:bCs/>
          <w:sz w:val="24"/>
          <w:szCs w:val="24"/>
          <w:highlight w:val="none"/>
        </w:rPr>
        <w:t>本理财计划不得投资于以下资产：</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股票；</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可转换债券、可交换债券；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w:t>
      </w:r>
      <w:r>
        <w:rPr>
          <w:rFonts w:hint="eastAsia" w:ascii="宋体" w:hAnsi="宋体" w:cs="宋体"/>
          <w:color w:val="333333"/>
          <w:sz w:val="24"/>
          <w:szCs w:val="24"/>
          <w:highlight w:val="none"/>
          <w:shd w:val="clear" w:color="auto" w:fill="FFFFFF"/>
        </w:rPr>
        <w:t>定期存款利率为基准利率的浮动利率债券，已进入最后一个利率调整期的除外；</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信用等级在AA+以下的债券、资产支持证券；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国家金融监督管理总局、中国人民银行禁止投资的其他金融工具。</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投资集中度限制</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color w:val="000000"/>
          <w:sz w:val="24"/>
          <w:szCs w:val="24"/>
          <w:highlight w:val="none"/>
        </w:rPr>
        <w:t>本理</w:t>
      </w:r>
      <w:r>
        <w:rPr>
          <w:rFonts w:hint="eastAsia" w:ascii="宋体" w:hAnsi="宋体" w:cs="宋体"/>
          <w:bCs/>
          <w:sz w:val="24"/>
          <w:szCs w:val="24"/>
          <w:highlight w:val="none"/>
        </w:rPr>
        <w:t>财计划持有单只证券或单只公募</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证券投资基金</w:t>
      </w:r>
      <w:r>
        <w:rPr>
          <w:rFonts w:ascii="宋体" w:hAnsi="宋体" w:cs="宋体"/>
          <w:bCs/>
          <w:sz w:val="24"/>
          <w:szCs w:val="24"/>
          <w:highlight w:val="none"/>
        </w:rPr>
        <w:fldChar w:fldCharType="end"/>
      </w:r>
      <w:r>
        <w:rPr>
          <w:rFonts w:ascii="宋体" w:hAnsi="宋体" w:cs="宋体"/>
          <w:bCs/>
          <w:sz w:val="24"/>
          <w:szCs w:val="24"/>
          <w:highlight w:val="none"/>
        </w:rPr>
        <w:t>的市值不得超过该理财</w:t>
      </w:r>
      <w:r>
        <w:rPr>
          <w:rFonts w:hint="eastAsia" w:ascii="宋体" w:hAnsi="宋体" w:cs="宋体"/>
          <w:bCs/>
          <w:sz w:val="24"/>
          <w:szCs w:val="24"/>
          <w:highlight w:val="none"/>
        </w:rPr>
        <w:t>计划</w:t>
      </w:r>
      <w:r>
        <w:rPr>
          <w:rFonts w:ascii="宋体" w:hAnsi="宋体" w:cs="宋体"/>
          <w:bCs/>
          <w:sz w:val="24"/>
          <w:szCs w:val="24"/>
          <w:highlight w:val="none"/>
        </w:rPr>
        <w:t>净资产</w:t>
      </w:r>
      <w:r>
        <w:rPr>
          <w:rFonts w:hint="eastAsia" w:ascii="宋体" w:hAnsi="宋体" w:cs="宋体"/>
          <w:bCs/>
          <w:sz w:val="24"/>
          <w:szCs w:val="24"/>
          <w:highlight w:val="none"/>
        </w:rPr>
        <w:t>的</w:t>
      </w:r>
      <w:r>
        <w:rPr>
          <w:rFonts w:ascii="宋体" w:hAnsi="宋体" w:cs="宋体"/>
          <w:bCs/>
          <w:sz w:val="24"/>
          <w:szCs w:val="24"/>
          <w:highlight w:val="none"/>
        </w:rPr>
        <w:t>10%</w:t>
      </w:r>
      <w:r>
        <w:rPr>
          <w:rFonts w:hint="eastAsia" w:ascii="宋体" w:hAnsi="宋体" w:cs="宋体"/>
          <w:bCs/>
          <w:sz w:val="24"/>
          <w:szCs w:val="24"/>
          <w:highlight w:val="none"/>
        </w:rPr>
        <w:t>。</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本理财计划投资于同一机构发行的债券及其作为原始权益人的资产支持证券的比例合计不得超过理财计划资产净值的10%，投资于国债、中央银行票据、政策性金融债券的除外。</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本理财计划投资于所有主体信用评级</w:t>
      </w:r>
      <w:r>
        <w:rPr>
          <w:rFonts w:hint="eastAsia" w:ascii="宋体" w:hAnsi="宋体" w:cs="宋体"/>
          <w:color w:val="333333"/>
          <w:sz w:val="24"/>
          <w:szCs w:val="24"/>
          <w:highlight w:val="none"/>
          <w:shd w:val="clear" w:color="auto" w:fill="FFFFFF"/>
        </w:rPr>
        <w:t>低于AAA的机构发行的金融工具的比例合计不得超过理财计划资产净值的10%，其中单一机构发行的金融工具的比例合计不得超过理财计划资产净值的2%；本款所称金融工具包括债券、银行存款、同业存单、相关机构作为原始权益人的资产支持证券及国家金融监督管理总局认可的其他金融工具。</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本理财计划投资于有固定期限银行存款的比例合计不得超过理财计划资产净值的30%，投资于有存款期限，根据协议可提前支取的银行存款除外；本理财计划投资于主体信用评级为AAA的同一商业银行的银行存款、同业存单占理财计划资产净值的比例合计不得超过20%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管理人全部现金管理类产品投资于同一商业银行的存款、同业存单和债券，不得超过该商业银行最近一个季度末净资产的10%。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监督管理机构另有规定的除外。</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对于非因管理人主观因素导致突破前述第（1）至（2）项比例限制的，管理人应当在流动性受限资产可出售、可转让或者恢复交易的10个交易日内调整至符合要求，监督管理机构规定的特殊情形除外。</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对于非因管理人主观因素导致突破前述第（3）至（6）项比例限制的，管理人应当在10个交易日内调整至符合要求，监督管理机构规定的特殊情形除外。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投资期限限制</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本理财计划投资组合的平均剩余期限不得超过120天，平均剩余存续期限不得超过240天。</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当前10名</w:t>
      </w:r>
      <w:r>
        <w:rPr>
          <w:rFonts w:hint="eastAsia" w:ascii="宋体" w:hAnsi="宋体" w:cs="宋体"/>
          <w:color w:val="333333"/>
          <w:sz w:val="24"/>
          <w:szCs w:val="24"/>
          <w:highlight w:val="none"/>
          <w:shd w:val="clear" w:color="auto" w:fill="FFFFFF"/>
        </w:rPr>
        <w:t>投资者的持有份额合计超过理财计划总份额的50%时，投资组合的平均剩余期限不得超过60天，平均剩余存续期限不得超过120天，投资组合中现金、国债、中央银行票据、政策性金融债券以及5个交易日内到期的其他金融工具占理财计划资产净值的比例合计不得低于30%。</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当</w:t>
      </w:r>
      <w:r>
        <w:rPr>
          <w:rFonts w:hint="eastAsia" w:ascii="宋体" w:hAnsi="宋体" w:cs="宋体"/>
          <w:bCs/>
          <w:sz w:val="24"/>
          <w:szCs w:val="24"/>
          <w:highlight w:val="none"/>
        </w:rPr>
        <w:t>前10名</w:t>
      </w:r>
      <w:r>
        <w:rPr>
          <w:rFonts w:hint="eastAsia" w:ascii="宋体" w:hAnsi="宋体" w:cs="宋体"/>
          <w:color w:val="333333"/>
          <w:sz w:val="24"/>
          <w:szCs w:val="24"/>
          <w:highlight w:val="none"/>
          <w:shd w:val="clear" w:color="auto" w:fill="FFFFFF"/>
        </w:rPr>
        <w:t>投资者的持有份额合计超过理财计划总份额的20%时，投资组合的平均剩余期限不得超过90天，平均剩余存续期限不得超过180天，投资组合中现金、国债、中央银行票据、政策性金融债券以及5个交易日内到期的其他金融工具占理财计划资产净值的比例合计不得低于20%。</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对于非因管理人主观因素导致突破前述第（2）至（3）项比例限制的，管理人应当在10个交易日内调整至符合要求，监督管理机构规定的特殊情形除外。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投资杠杆率限制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的总资产不得超过净资产的120%，发生巨额赎回、连续3个交易日累计赎回20%以上或者连续5个交易日累计赎回30%以上的情形除外。对于非因管理人主观因素导致突破前述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流动性限制</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本理财计划应持有不低于该理财计划资产净值的5%的现金、国债、中央银行票据、政策性金融债券。</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本理财计划应持有不低于该理财计划资产净值的10%的现金、国债、中央银行票据、政策性金融债券以及5个交易日内到期的其他金融工具。</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本理财计划投资到期日在中央银行票据、政策性金融债券</w:t>
      </w:r>
      <w:r>
        <w:rPr>
          <w:rFonts w:hint="eastAsia" w:ascii="宋体" w:hAnsi="宋体" w:cs="宋体"/>
          <w:color w:val="333333"/>
          <w:sz w:val="24"/>
          <w:szCs w:val="24"/>
          <w:highlight w:val="none"/>
          <w:shd w:val="clear" w:color="auto" w:fill="FFFFFF"/>
        </w:rPr>
        <w:t>（含协议约定有条件提前支取的银行存款），以及资产支持证券、因发行人债务违约无法进行转让或者交易的债券等由于法律法规、合同或者操作障碍等原因无法以合理价格予以变现的流动性受限资产，合计不得超过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本理财计划投资不存在活跃交易市场，并且需要采用估值技术确定公允价值的资产比例不得超过理财产品净资产50%以上。</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对于非因管理人主观因素导致突破前述第（3）项比例限制的，管理人应当在流动性受限资产可出售、可转让或者恢复交易的10个交易日内调整至符合要求，监督管理机构规定的特殊情形除外。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其他投资限制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资产支持证券</w:t>
      </w:r>
      <w:r>
        <w:rPr>
          <w:rFonts w:ascii="宋体" w:hAnsi="宋体" w:cs="宋体"/>
          <w:bCs/>
          <w:sz w:val="24"/>
          <w:szCs w:val="24"/>
          <w:highlight w:val="none"/>
        </w:rPr>
        <w:fldChar w:fldCharType="end"/>
      </w:r>
      <w:r>
        <w:rPr>
          <w:rFonts w:hint="eastAsia" w:ascii="宋体" w:hAnsi="宋体" w:cs="宋体"/>
          <w:bCs/>
          <w:sz w:val="24"/>
          <w:szCs w:val="24"/>
          <w:highlight w:val="none"/>
        </w:rPr>
        <w:t>，不得直接或间接投资于未上市公司股权及其受（收）益权。</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拟投资市场、资产的流动性风险评估</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本理财计划拟投资市场可能面临的流动性风险如下：</w:t>
      </w:r>
    </w:p>
    <w:p>
      <w:pPr>
        <w:numPr>
          <w:ilvl w:val="0"/>
          <w:numId w:val="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以上风险仅为列举性质，未能详尽列明拟投资市场和资产面临的全部流动性风险</w:t>
      </w:r>
      <w:r>
        <w:rPr>
          <w:rFonts w:ascii="宋体" w:hAnsi="宋体" w:cs="宋体"/>
          <w:bCs/>
          <w:sz w:val="24"/>
          <w:szCs w:val="24"/>
          <w:highlight w:val="none"/>
        </w:rPr>
        <w:t>可能导致投资者投资本金及收益损失</w:t>
      </w:r>
      <w:r>
        <w:rPr>
          <w:rFonts w:hint="eastAsia" w:ascii="宋体" w:hAnsi="宋体" w:cs="宋体"/>
          <w:bCs/>
          <w:sz w:val="24"/>
          <w:szCs w:val="24"/>
          <w:highlight w:val="none"/>
        </w:rPr>
        <w:t>或延期兑付</w:t>
      </w:r>
      <w:r>
        <w:rPr>
          <w:rFonts w:ascii="宋体" w:hAnsi="宋体" w:cs="宋体"/>
          <w:bCs/>
          <w:sz w:val="24"/>
          <w:szCs w:val="24"/>
          <w:highlight w:val="none"/>
        </w:rPr>
        <w:t>的所有因素</w:t>
      </w:r>
      <w:r>
        <w:rPr>
          <w:rFonts w:hint="eastAsia" w:ascii="宋体" w:hAnsi="宋体" w:cs="宋体"/>
          <w:bCs/>
          <w:sz w:val="24"/>
          <w:szCs w:val="24"/>
          <w:highlight w:val="none"/>
        </w:rPr>
        <w:t>。管理人会进行标的的分散化投资并结合对各类标的资产的预期流动性合理进行资产配置，最大程度防范流动性风险。</w:t>
      </w:r>
    </w:p>
    <w:p>
      <w:pPr>
        <w:spacing w:line="360" w:lineRule="auto"/>
        <w:ind w:firstLine="420" w:firstLineChars="200"/>
        <w:jc w:val="left"/>
        <w:rPr>
          <w:rFonts w:hint="eastAsia" w:ascii="宋体" w:hAnsi="宋体" w:cs="宋体"/>
          <w:bCs/>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合作机构及主要职责</w:t>
      </w:r>
    </w:p>
    <w:p>
      <w:pPr>
        <w:numPr>
          <w:ilvl w:val="0"/>
          <w:numId w:val="2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22" w:firstLineChars="200"/>
        <w:jc w:val="left"/>
        <w:outlineLvl w:val="9"/>
        <w:rPr>
          <w:rFonts w:hint="eastAsia" w:ascii="宋体" w:hAnsi="宋体" w:cs="宋体"/>
          <w:b/>
          <w:highlight w:val="none"/>
        </w:rPr>
      </w:pPr>
      <w:r>
        <w:rPr>
          <w:rFonts w:hint="eastAsia" w:ascii="宋体" w:hAnsi="宋体" w:cs="宋体"/>
          <w:b/>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交通银行股份有限公司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中国(上海)自由贸易试验区银城中路188号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021-58781234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唐山银行股份有限公司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0315-2826443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招商银行股份有限公司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深圳市福田区深南大道7088号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浙江萧山农村商业银行股份有限公司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深圳前海微众银行股份有限公司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深圳市南山区沙河西路1819号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青海省西宁市城西区西关大街130号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估值日</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估值对象</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本理财计划所投资的所有资产及负债。</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估值目的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客观、准确反映理财计划的价值。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估值方法</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szCs w:val="24"/>
          <w:highlight w:val="none"/>
        </w:rPr>
      </w:pPr>
      <w:r>
        <w:rPr>
          <w:rFonts w:hint="eastAsia"/>
          <w:sz w:val="24"/>
          <w:szCs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货币市场工具类资产</w:t>
      </w:r>
    </w:p>
    <w:p>
      <w:pPr>
        <w:pStyle w:val="20"/>
        <w:adjustRightInd/>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债券及同业存单类资产，按摊余成本法进行计量。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基金、资产管理计划类资产</w:t>
      </w:r>
    </w:p>
    <w:p>
      <w:pPr>
        <w:spacing w:line="360" w:lineRule="auto"/>
        <w:ind w:firstLine="480" w:firstLineChars="200"/>
        <w:rPr>
          <w:rFonts w:hint="eastAsia" w:ascii="宋体" w:hAnsi="宋体"/>
          <w:sz w:val="24"/>
          <w:szCs w:val="24"/>
          <w:highlight w:val="none"/>
        </w:rPr>
      </w:pPr>
      <w:r>
        <w:rPr>
          <w:rFonts w:hint="eastAsia" w:ascii="宋体" w:hAnsi="宋体" w:cs="宋体"/>
          <w:bCs/>
          <w:color w:val="000000"/>
          <w:sz w:val="24"/>
          <w:szCs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其他资产的估值方法</w:t>
      </w:r>
    </w:p>
    <w:p>
      <w:pPr>
        <w:pStyle w:val="20"/>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其他资产存在公允价值的，按照监管要求进行公允价值估值，公允价值不能确定的按国家最新规定进行估值。</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偏离度管理</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本理财计划为现金管理类产品，在确保理财计划资产净值能够公允地反映投 资组合价值的前提下，可采用摊余成本法对持有的投资组合进行会计核算。由于 按摊余成本法估值可能会出现估值对象的公允价值和摊余成本价偏离，为消除或 减少理财计划因资产净值背离导致投资者权益稀释或其他不公平的结果，在实际 操作中，管理人可以对理财计划资产净值按公允价值法定期进行重新评估，即“影子定价”。</w:t>
      </w:r>
    </w:p>
    <w:p>
      <w:pPr>
        <w:spacing w:line="480" w:lineRule="auto"/>
        <w:ind w:firstLine="480" w:firstLineChars="200"/>
        <w:jc w:val="left"/>
        <w:outlineLvl w:val="9"/>
        <w:rPr>
          <w:rFonts w:hint="eastAsia" w:ascii="宋体" w:hAnsi="宋体" w:cs="宋体"/>
          <w:bCs/>
          <w:color w:val="000000"/>
          <w:sz w:val="24"/>
          <w:szCs w:val="24"/>
          <w:highlight w:val="none"/>
        </w:rPr>
      </w:pPr>
      <w:r>
        <w:rPr>
          <w:rFonts w:ascii="宋体" w:hAnsi="宋体" w:cs="宋体"/>
          <w:color w:val="000000"/>
          <w:sz w:val="24"/>
          <w:szCs w:val="24"/>
          <w:highlight w:val="none"/>
        </w:rPr>
        <w:t>影子定价与摊余成本法确定的</w:t>
      </w:r>
      <w:r>
        <w:rPr>
          <w:rFonts w:hint="eastAsia" w:ascii="宋体" w:hAnsi="宋体" w:cs="宋体"/>
          <w:color w:val="000000"/>
          <w:sz w:val="24"/>
          <w:szCs w:val="24"/>
          <w:highlight w:val="none"/>
        </w:rPr>
        <w:t>理财计划</w:t>
      </w:r>
      <w:r>
        <w:rPr>
          <w:rFonts w:ascii="宋体" w:hAnsi="宋体" w:cs="宋体"/>
          <w:color w:val="000000"/>
          <w:sz w:val="24"/>
          <w:szCs w:val="24"/>
          <w:highlight w:val="none"/>
        </w:rPr>
        <w:t>资产净值的偏离度＝</w:t>
      </w:r>
      <w:r>
        <w:rPr>
          <w:rFonts w:ascii="宋体" w:hAnsi="宋体" w:cs="宋体"/>
          <w:position w:val="-19"/>
          <w:sz w:val="24"/>
          <w:szCs w:val="24"/>
          <w:highlight w:val="none"/>
        </w:rPr>
        <w:drawing>
          <wp:inline distT="0" distB="0" distL="114300" distR="114300">
            <wp:extent cx="876300" cy="318770"/>
            <wp:effectExtent l="0" t="0" r="0" b="5080"/>
            <wp:docPr id="9" name="IM 82"/>
            <wp:cNvGraphicFramePr/>
            <a:graphic xmlns:a="http://schemas.openxmlformats.org/drawingml/2006/main">
              <a:graphicData uri="http://schemas.openxmlformats.org/drawingml/2006/picture">
                <pic:pic xmlns:pic="http://schemas.openxmlformats.org/drawingml/2006/picture">
                  <pic:nvPicPr>
                    <pic:cNvPr id="9" name="IM 82"/>
                    <pic:cNvPicPr/>
                  </pic:nvPicPr>
                  <pic:blipFill>
                    <a:blip r:embed="rId6"/>
                    <a:stretch>
                      <a:fillRect/>
                    </a:stretch>
                  </pic:blipFill>
                  <pic:spPr>
                    <a:xfrm>
                      <a:off x="0" y="0"/>
                      <a:ext cx="876300" cy="318770"/>
                    </a:xfrm>
                    <a:prstGeom prst="rect">
                      <a:avLst/>
                    </a:prstGeom>
                    <a:noFill/>
                    <a:ln>
                      <a:noFill/>
                    </a:ln>
                  </pic:spPr>
                </pic:pic>
              </a:graphicData>
            </a:graphic>
          </wp:inline>
        </w:drawing>
      </w:r>
      <w:r>
        <w:rPr>
          <w:rFonts w:ascii="宋体" w:hAnsi="宋体" w:cs="宋体"/>
          <w:color w:val="000000"/>
          <w:sz w:val="24"/>
          <w:szCs w:val="24"/>
          <w:highlight w:val="none"/>
        </w:rPr>
        <w:t>，其中，</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6"/>
          <w:sz w:val="24"/>
          <w:szCs w:val="24"/>
          <w:highlight w:val="none"/>
        </w:rPr>
        <w:t>S</w:t>
      </w:r>
      <w:r>
        <w:rPr>
          <w:rFonts w:ascii="宋体" w:hAnsi="宋体" w:cs="宋体"/>
          <w:color w:val="000000"/>
          <w:sz w:val="24"/>
          <w:szCs w:val="24"/>
          <w:highlight w:val="none"/>
        </w:rPr>
        <w:t>为影子定价确定的资产净值，</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5"/>
          <w:sz w:val="24"/>
          <w:szCs w:val="24"/>
          <w:highlight w:val="none"/>
        </w:rPr>
        <w:t>a</w:t>
      </w:r>
      <w:r>
        <w:rPr>
          <w:rFonts w:ascii="宋体" w:hAnsi="宋体" w:cs="宋体"/>
          <w:color w:val="000000"/>
          <w:sz w:val="24"/>
          <w:szCs w:val="24"/>
          <w:highlight w:val="none"/>
        </w:rPr>
        <w:t>为摊余成本法确定的资产净值。</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当影子定价出现偏离，管理人可根据风险控制的需要做出如下调整：</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当正偏离度绝度值达到0.5%时，管理人将暂停接受认购并在5个交易日内将正偏离绝对值调整到0.5%以内。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当负偏离度绝对值达到0.25%时，管理人将在5个交易日内将负偏离绝对值调整到0.25%以内。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当负偏离度绝对值达到0.5%时，管理人将采取相应措施将负偏离绝对值控制在0.5%以内。</w:t>
      </w:r>
    </w:p>
    <w:p>
      <w:pPr>
        <w:numPr>
          <w:ilvl w:val="0"/>
          <w:numId w:val="33"/>
        </w:numPr>
        <w:spacing w:line="360" w:lineRule="auto"/>
        <w:ind w:firstLine="480" w:firstLineChars="200"/>
        <w:jc w:val="left"/>
        <w:outlineLvl w:val="9"/>
        <w:rPr>
          <w:rFonts w:ascii="宋体" w:hAnsi="宋体" w:cs="宋体"/>
          <w:bCs/>
          <w:color w:val="000000"/>
          <w:sz w:val="24"/>
          <w:szCs w:val="24"/>
          <w:highlight w:val="none"/>
        </w:rPr>
      </w:pPr>
      <w:r>
        <w:rPr>
          <w:rFonts w:hint="eastAsia" w:ascii="宋体" w:hAnsi="宋体" w:cs="宋体"/>
          <w:bCs/>
          <w:color w:val="000000"/>
          <w:sz w:val="24"/>
          <w:szCs w:val="24"/>
          <w:highlight w:val="none"/>
        </w:rPr>
        <w:t>当负偏离度绝对值连续两个交易日超过0.5%时，管理人将采用公允价值估值方法对持有投资组合的账面价值进行调整，或者采取暂停接受所有赎回申请并终止理财计划进行财产清算等措施。</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估值差错处理</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资产账册的建立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20" w:firstLineChars="200"/>
        <w:jc w:val="left"/>
        <w:rPr>
          <w:rFonts w:hint="eastAsia" w:ascii="宋体" w:hAnsi="宋体" w:cs="宋体"/>
          <w:bCs/>
          <w:color w:val="000000"/>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费用及税收</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费用种类</w:t>
      </w:r>
    </w:p>
    <w:p>
      <w:pPr>
        <w:spacing w:line="360" w:lineRule="auto"/>
        <w:ind w:firstLine="480" w:firstLineChars="200"/>
        <w:jc w:val="left"/>
        <w:rPr>
          <w:rFonts w:ascii="宋体" w:hAnsi="宋体" w:cs="宋体"/>
          <w:b/>
          <w:sz w:val="24"/>
          <w:szCs w:val="24"/>
          <w:highlight w:val="none"/>
        </w:rPr>
      </w:pPr>
      <w:r>
        <w:rPr>
          <w:rFonts w:hint="eastAsia" w:ascii="宋体" w:hAnsi="宋体" w:cs="宋体"/>
          <w:bCs/>
          <w:color w:val="000000"/>
          <w:sz w:val="24"/>
          <w:szCs w:val="24"/>
          <w:highlight w:val="none"/>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理财计划财产的年化销售服务费率为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销售服务费原则上按日计提。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认购费</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本理财计划免除认购费。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申购费</w:t>
      </w:r>
    </w:p>
    <w:p>
      <w:pPr>
        <w:spacing w:line="360" w:lineRule="auto"/>
        <w:ind w:firstLine="480" w:firstLineChars="200"/>
        <w:jc w:val="left"/>
        <w:rPr>
          <w:rFonts w:ascii="宋体" w:hAnsi="宋体" w:cs="宋体"/>
          <w:b/>
          <w:color w:val="FF0000"/>
          <w:sz w:val="24"/>
          <w:szCs w:val="24"/>
          <w:highlight w:val="none"/>
        </w:rPr>
      </w:pPr>
      <w:r>
        <w:rPr>
          <w:rFonts w:hint="eastAsia" w:ascii="宋体" w:hAnsi="宋体" w:cs="宋体"/>
          <w:bCs/>
          <w:color w:val="000000"/>
          <w:sz w:val="24"/>
          <w:szCs w:val="24"/>
          <w:highlight w:val="none"/>
        </w:rPr>
        <w:t>本理财计划免除申购费。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赎回费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本理财计划免除赎回费（不包含强制赎回费）。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浮动管理费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w:t>
      </w:r>
      <w:r>
        <w:rPr>
          <w:rFonts w:hint="eastAsia" w:ascii="宋体" w:hAnsi="宋体" w:cs="宋体"/>
          <w:bCs/>
          <w:color w:val="000000"/>
          <w:sz w:val="24"/>
          <w:szCs w:val="24"/>
          <w:highlight w:val="none"/>
          <w:lang w:eastAsia="zh"/>
        </w:rPr>
        <w:t>浮动管理</w:t>
      </w:r>
      <w:r>
        <w:rPr>
          <w:rFonts w:hint="eastAsia" w:ascii="宋体" w:hAnsi="宋体" w:cs="宋体"/>
          <w:bCs/>
          <w:color w:val="000000"/>
          <w:sz w:val="24"/>
          <w:szCs w:val="24"/>
          <w:highlight w:val="none"/>
        </w:rPr>
        <w:t>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强制赎回费（如有）</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本理财计划符合以下条件，管理人有权收取强制赎回费：</w:t>
      </w:r>
    </w:p>
    <w:p>
      <w:pPr>
        <w:numPr>
          <w:ilvl w:val="0"/>
          <w:numId w:val="3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numPr>
          <w:ilvl w:val="0"/>
          <w:numId w:val="3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其他费用</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审计费、律师费、公证费等费用。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监管规定的其他费用。</w:t>
      </w:r>
    </w:p>
    <w:p>
      <w:pPr>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税收说明</w:t>
      </w:r>
    </w:p>
    <w:p>
      <w:pPr>
        <w:numPr>
          <w:ilvl w:val="0"/>
          <w:numId w:val="42"/>
        </w:numPr>
        <w:spacing w:line="360" w:lineRule="auto"/>
        <w:ind w:firstLine="480" w:firstLineChars="200"/>
        <w:jc w:val="left"/>
        <w:rPr>
          <w:sz w:val="24"/>
          <w:szCs w:val="24"/>
          <w:highlight w:val="none"/>
        </w:rPr>
      </w:pPr>
      <w:r>
        <w:rPr>
          <w:rFonts w:hint="eastAsia" w:ascii="宋体" w:hAnsi="宋体" w:cs="宋体"/>
          <w:bCs/>
          <w:color w:val="000000"/>
          <w:sz w:val="24"/>
          <w:szCs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收益计算</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理财收益说明</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投资者自认购/申购份额确认当日开始享有相应份额的收益分配权益；自赎回确认当日开始不再享有相应份额的收益分配权益。</w:t>
      </w:r>
    </w:p>
    <w:p>
      <w:pPr>
        <w:spacing w:line="360" w:lineRule="auto"/>
        <w:ind w:firstLine="480" w:firstLineChars="200"/>
        <w:jc w:val="left"/>
        <w:rPr>
          <w:rFonts w:ascii="宋体" w:hAnsi="宋体" w:cs="宋体"/>
          <w:bCs/>
          <w:color w:val="FF0000"/>
          <w:sz w:val="24"/>
          <w:szCs w:val="24"/>
          <w:highlight w:val="none"/>
        </w:rPr>
      </w:pPr>
      <w:r>
        <w:rPr>
          <w:rFonts w:hint="eastAsia" w:ascii="宋体" w:hAnsi="宋体" w:cs="宋体"/>
          <w:bCs/>
          <w:color w:val="000000"/>
          <w:sz w:val="24"/>
          <w:szCs w:val="24"/>
          <w:highlight w:val="none"/>
        </w:rPr>
        <w:t>理财计划存续期间，以当日每万份理财计划收益为基准，每日为投资者计算当日理财收益并进行分配，结转为理财计划份额。如投资者的当日收益为正，则为投资者增加相应的理财计划份额；如投资者的当日收益为零，则投资者份额不变；如投资者的当日收益为负，则为投资者核减相应的理财计划份额。投资者当日收益分配的计算保留到小数点后2位，小数点后第3位按去尾法处理，因去尾形成的余额进行再次分配，直到分完为止。</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计算公式</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投资者当日理财收益＝投资者当日持有份额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每万份理财计划收益÷10000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当日每万份理财计划收益=(当日资产组合投资收益-当日理财计划托管费-当日理财计划固定管理费-当日理财计划销售服务费-其他税费)÷当日理财计划份额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当日理财计划份额=上一日理财计划份额＋上一日理财计划结转份额＋当日申购确认理财计划份额－当日赎回确认理财计划份额</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按日结转份额的七日年化收益率=</w:t>
      </w:r>
      <w:r>
        <w:rPr>
          <w:color w:val="000000"/>
          <w:position w:val="-41"/>
          <w:sz w:val="24"/>
          <w:szCs w:val="24"/>
          <w:highlight w:val="none"/>
        </w:rPr>
        <w:drawing>
          <wp:inline distT="0" distB="0" distL="114300" distR="114300">
            <wp:extent cx="1651000" cy="634365"/>
            <wp:effectExtent l="0" t="0" r="6350" b="13335"/>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7"/>
                    <a:stretch>
                      <a:fillRect/>
                    </a:stretch>
                  </pic:blipFill>
                  <pic:spPr>
                    <a:xfrm>
                      <a:off x="0" y="0"/>
                      <a:ext cx="1651000" cy="634365"/>
                    </a:xfrm>
                    <a:prstGeom prst="rect">
                      <a:avLst/>
                    </a:prstGeom>
                    <a:noFill/>
                    <a:ln>
                      <a:noFill/>
                    </a:ln>
                  </pic:spPr>
                </pic:pic>
              </a:graphicData>
            </a:graphic>
          </wp:inline>
        </w:drawing>
      </w:r>
      <w:r>
        <w:rPr>
          <w:color w:val="000000"/>
          <w:spacing w:val="-5"/>
          <w:position w:val="3"/>
          <w:sz w:val="24"/>
          <w:szCs w:val="24"/>
          <w:highlight w:val="none"/>
        </w:rPr>
        <w:t>×</w:t>
      </w:r>
      <w:r>
        <w:rPr>
          <w:color w:val="000000"/>
          <w:spacing w:val="-39"/>
          <w:position w:val="3"/>
          <w:sz w:val="24"/>
          <w:szCs w:val="24"/>
          <w:highlight w:val="none"/>
        </w:rPr>
        <w:t xml:space="preserve"> </w:t>
      </w:r>
      <w:r>
        <w:rPr>
          <w:rFonts w:ascii="Times New Roman" w:hAnsi="Times New Roman" w:eastAsia="Times New Roman" w:cs="Times New Roman"/>
          <w:color w:val="000000"/>
          <w:spacing w:val="-5"/>
          <w:position w:val="3"/>
          <w:sz w:val="24"/>
          <w:szCs w:val="24"/>
          <w:highlight w:val="none"/>
        </w:rPr>
        <w:t>100%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Ri为最近第i个自然日的当日每万份理财计划收益。七日年化收益率采取四舍五入后精确到小数点后4位。</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投资者总收益＝自理财计划申购确认日（或成立日）当日（含当日）起至赎回确认日或理财计划到期日（提前终止日）（不含当日）止期间相应投资者理财收益总和</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其中，投资者当日持有份额以管理人理财系统完成当日清算后记录的份额为准；投资者当日理财收益计算结果按去尾法保留两位小数。</w:t>
      </w:r>
    </w:p>
    <w:p>
      <w:pPr>
        <w:numPr>
          <w:ilvl w:val="0"/>
          <w:numId w:val="43"/>
        </w:numPr>
        <w:spacing w:line="360" w:lineRule="auto"/>
        <w:jc w:val="left"/>
        <w:outlineLvl w:val="9"/>
        <w:rPr>
          <w:rFonts w:hint="eastAsia" w:ascii="宋体" w:hAnsi="宋体" w:cs="宋体"/>
          <w:bCs/>
          <w:color w:val="000000"/>
          <w:sz w:val="24"/>
          <w:szCs w:val="24"/>
          <w:highlight w:val="none"/>
        </w:rPr>
      </w:pPr>
      <w:r>
        <w:rPr>
          <w:rFonts w:hint="eastAsia" w:ascii="宋体" w:hAnsi="宋体" w:cs="宋体"/>
          <w:b/>
          <w:sz w:val="24"/>
          <w:szCs w:val="24"/>
          <w:highlight w:val="none"/>
        </w:rPr>
        <w:t>示例说明</w:t>
      </w:r>
    </w:p>
    <w:p>
      <w:pPr>
        <w:spacing w:line="360" w:lineRule="auto"/>
        <w:ind w:left="42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以下示例均为假设情况，不构成业绩预测，不代表本理财计划实际投资业绩。</w:t>
      </w:r>
    </w:p>
    <w:p>
      <w:pPr>
        <w:numPr>
          <w:ilvl w:val="0"/>
          <w:numId w:val="44"/>
        </w:numPr>
        <w:spacing w:line="360" w:lineRule="auto"/>
        <w:ind w:firstLine="482" w:firstLineChars="200"/>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示例一</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以某投资者投资10万元为例，假设当日每万分理财计划收益为0.9590，则该投资者的当日理财计划收益为：</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100,000.00×0.9590÷10，000.00=9.59（元）</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投资者当日结转份额为：</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9.59÷1.0000=9.59（份）</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本金及理财收益支付</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理财计划收益结转，提前终止的本金及收益支付</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若投资者未赎回理财计划，管理人每日为投资者计算当日收益，并将该收益结转为理财计划份额。</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若理财计划提前终止，管理人将投资者在提前终止日所持有的理财计划份额对应的本金与理财收益于提前终止日后的3个〖工作日〗内划转至投资者指定理财账户。</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理财计划赎回时的本金及收益支付</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全部赎回时的本金及收益支付：投资者申请全部赎回理财计划时，理财计划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部分赎回时的本金及收益支付：投资者申请部分赎回理财计划时，部分赎回的理财计划份额对应的理财收益于赎回日当晚清算后正常结转为份额，管理人在赎回确认日当日将投资者申请赎回的理财计划份额对应的资金划转至投资者指定理财账户。部分赎回后投资者持有本理财计划的实时余额不得低于0.01份。</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示例：a.假设投资者持有理财计划20万份，若投资者在理财计划某一开放日申请赎回10万份，则赎回确认日当日，管理人将10万元资金划转至投资者指定账户。该部分收益（申请赎回的10万份理财计划份额在赎回日产生的理财收益）在赎回日当晚清算后正常结转为份额继续留存。</w:t>
      </w:r>
    </w:p>
    <w:p>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bCs/>
          <w:color w:val="000000"/>
          <w:sz w:val="24"/>
          <w:szCs w:val="24"/>
          <w:highlight w:val="none"/>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2" w:firstLineChars="200"/>
        <w:jc w:val="left"/>
        <w:outlineLvl w:val="9"/>
        <w:rPr>
          <w:rFonts w:ascii="宋体" w:hAnsi="宋体" w:cs="宋体"/>
          <w:b/>
          <w:color w:val="FF0000"/>
          <w:sz w:val="24"/>
          <w:szCs w:val="24"/>
          <w:highlight w:val="none"/>
        </w:rPr>
      </w:pPr>
      <w:r>
        <w:rPr>
          <w:rFonts w:hint="eastAsia" w:ascii="宋体" w:hAnsi="宋体" w:cs="宋体"/>
          <w:b/>
          <w:color w:val="000000"/>
          <w:sz w:val="24"/>
          <w:szCs w:val="24"/>
          <w:highlight w:val="none"/>
        </w:rPr>
        <w:t>3. 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最不利情况分析</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交易规则</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认购</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成立</w:t>
      </w:r>
    </w:p>
    <w:p>
      <w:pPr>
        <w:numPr>
          <w:ilvl w:val="0"/>
          <w:numId w:val="5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管理人将在理财计划成立日对认购期的认购及追加申请进行确认和划款。</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申购及赎回</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交易确认及时间</w:t>
      </w:r>
    </w:p>
    <w:p>
      <w:pPr>
        <w:numPr>
          <w:ilvl w:val="0"/>
          <w:numId w:val="52"/>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本理财计划在每个开放日的工作时间可进行申购和赎回，申购和赎回申请将在确认日进行确认，即开放日后的第〖</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〗进行确认。</w:t>
      </w:r>
    </w:p>
    <w:p>
      <w:pPr>
        <w:keepNext w:val="0"/>
        <w:keepLines w:val="0"/>
        <w:widowControl w:val="0"/>
        <w:numPr>
          <w:ilvl w:val="0"/>
          <w:numId w:val="52"/>
        </w:numPr>
        <w:suppressLineNumbers w:val="0"/>
        <w:spacing w:before="0" w:beforeAutospacing="0" w:after="0" w:afterAutospacing="0" w:line="360" w:lineRule="auto"/>
        <w:ind w:left="0" w:right="0" w:firstLine="480" w:firstLineChars="200"/>
        <w:jc w:val="both"/>
        <w:rPr>
          <w:rFonts w:ascii="宋体" w:hAnsi="宋体" w:cs="宋体"/>
          <w:bCs/>
          <w:sz w:val="24"/>
          <w:szCs w:val="24"/>
          <w:highlight w:val="none"/>
        </w:rPr>
      </w:pPr>
      <w:r>
        <w:rPr>
          <w:rFonts w:hint="eastAsia" w:ascii="宋体" w:hAnsi="宋体" w:cs="宋体"/>
          <w:bCs/>
          <w:sz w:val="24"/>
          <w:szCs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0</w:t>
      </w:r>
      <w:r>
        <w:rPr>
          <w:rFonts w:hint="eastAsia" w:ascii="宋体" w:hAnsi="宋体" w:cs="宋体"/>
          <w:bCs/>
          <w:color w:val="000000"/>
          <w:sz w:val="24"/>
          <w:szCs w:val="24"/>
          <w:highlight w:val="none"/>
        </w:rPr>
        <w:t>:00</w:t>
      </w:r>
      <w:r>
        <w:rPr>
          <w:rFonts w:hint="eastAsia" w:ascii="宋体" w:hAnsi="宋体" w:cs="宋体"/>
          <w:bCs/>
          <w:sz w:val="24"/>
          <w:szCs w:val="24"/>
          <w:highlight w:val="none"/>
        </w:rPr>
        <w:t>〗至〖</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eastAsia="宋体" w:cs="宋体"/>
          <w:color w:val="000000"/>
          <w:kern w:val="2"/>
          <w:sz w:val="24"/>
          <w:szCs w:val="24"/>
          <w:lang w:val="en-US" w:eastAsia="zh-CN" w:bidi="ar"/>
        </w:rPr>
        <w:t>(不含)</w:t>
      </w:r>
      <w:r>
        <w:rPr>
          <w:rFonts w:hint="eastAsia" w:ascii="宋体" w:hAnsi="宋体" w:cs="宋体"/>
          <w:bCs/>
          <w:sz w:val="24"/>
          <w:szCs w:val="24"/>
          <w:highlight w:val="none"/>
        </w:rPr>
        <w:t>。</w:t>
      </w:r>
      <w:r>
        <w:rPr>
          <w:rFonts w:hint="eastAsia" w:ascii="宋体" w:hAnsi="宋体" w:cs="宋体"/>
          <w:color w:val="000000"/>
          <w:kern w:val="0"/>
          <w:sz w:val="24"/>
          <w:szCs w:val="24"/>
          <w:highlight w:val="none"/>
        </w:rPr>
        <w:t>（具体以销售机构规定为准）</w:t>
      </w:r>
    </w:p>
    <w:p>
      <w:pPr>
        <w:numPr>
          <w:ilvl w:val="0"/>
          <w:numId w:val="52"/>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如</w:t>
      </w:r>
      <w:r>
        <w:rPr>
          <w:rFonts w:hint="eastAsia" w:ascii="宋体" w:hAnsi="宋体" w:cs="宋体"/>
          <w:bCs/>
          <w:color w:val="000000"/>
          <w:sz w:val="24"/>
          <w:szCs w:val="24"/>
          <w:highlight w:val="none"/>
        </w:rPr>
        <w:t>新增申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投资者在非工作时间内提出申购和赎回申请，申请将在第二个</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color w:val="000000"/>
          <w:sz w:val="24"/>
          <w:szCs w:val="24"/>
          <w:highlight w:val="none"/>
        </w:rPr>
        <w:t>工作时间内予以确认。未确认的申购和赎回申请可在确认日期前一</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cs="宋体"/>
          <w:bCs/>
          <w:color w:val="000000"/>
          <w:sz w:val="24"/>
          <w:szCs w:val="24"/>
          <w:highlight w:val="none"/>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到账时间</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赎回资金确认后，最快确认日当日支付，该资金对应的收益支付方式见本说明书第九条收益计算与支付相应条款。如遇资金在途或法定工作日调整，实际资金到账日以公告为准。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numPr>
          <w:ilvl w:val="0"/>
          <w:numId w:val="5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巨额赎回认定</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理财计划存续期内，若理财计划开放日净赎回申请份额超过上一日日终理财计划总份额〖</w:t>
      </w:r>
      <w:r>
        <w:rPr>
          <w:rFonts w:hint="eastAsia" w:ascii="宋体" w:hAnsi="宋体" w:cs="宋体"/>
          <w:bCs/>
          <w:color w:val="000000"/>
          <w:sz w:val="24"/>
          <w:szCs w:val="24"/>
          <w:highlight w:val="none"/>
        </w:rPr>
        <w:t>10%</w:t>
      </w:r>
      <w:r>
        <w:rPr>
          <w:rFonts w:hint="eastAsia" w:ascii="宋体" w:hAnsi="宋体" w:cs="宋体"/>
          <w:bCs/>
          <w:sz w:val="24"/>
          <w:szCs w:val="24"/>
          <w:highlight w:val="none"/>
        </w:rPr>
        <w:t>〗时，即构成巨额赎回。</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全部赎回</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拒绝超出部分的赎回申请</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szCs w:val="24"/>
          <w:highlight w:val="none"/>
        </w:rPr>
        <w:t>10%</w:t>
      </w:r>
      <w:r>
        <w:rPr>
          <w:rFonts w:hint="eastAsia" w:ascii="宋体" w:hAnsi="宋体" w:cs="宋体"/>
          <w:bCs/>
          <w:sz w:val="24"/>
          <w:szCs w:val="24"/>
          <w:highlight w:val="none"/>
        </w:rPr>
        <w:t>〗的前提下，对其余赎回申请予以拒绝，但投资者可于下一赎回开放期重新进行赎回申请。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在理财计划存续期内，管理人有权根据市场情况调整巨额赎回金额比例，并及时进行对外公告。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暂停申购、赎回及延期支付赎回的情形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理财计划资产规模过大，继续接受申购可能对理财计划业绩产生负面影响，从而损害现有份额持有人利益的情形时。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当管理人认为某笔申购申请会有损于其他份额持有人利益的情形时。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理财计划发生巨额赎回情形时。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当继续</w:t>
      </w:r>
      <w:r>
        <w:rPr>
          <w:rFonts w:ascii="宋体" w:hAnsi="宋体" w:cs="宋体"/>
          <w:bCs/>
          <w:sz w:val="24"/>
          <w:szCs w:val="24"/>
          <w:highlight w:val="none"/>
        </w:rPr>
        <w:t>接受赎回申请将损害存量投资者利益的情形</w:t>
      </w:r>
      <w:r>
        <w:rPr>
          <w:rFonts w:hint="eastAsia" w:ascii="宋体" w:hAnsi="宋体" w:cs="宋体"/>
          <w:bCs/>
          <w:sz w:val="24"/>
          <w:szCs w:val="24"/>
          <w:highlight w:val="none"/>
        </w:rPr>
        <w:t>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w:t>
      </w:r>
      <w:r>
        <w:rPr>
          <w:rFonts w:ascii="宋体" w:hAnsi="宋体" w:cs="宋体"/>
          <w:bCs/>
          <w:sz w:val="24"/>
          <w:szCs w:val="24"/>
          <w:highlight w:val="none"/>
        </w:rPr>
        <w:t>前一估值日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因不可抗力等原因，导致管理人接受赎回申请后无法及时兑付的情形时。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连续</w:t>
      </w:r>
      <w:r>
        <w:rPr>
          <w:rFonts w:ascii="宋体" w:hAnsi="宋体" w:cs="宋体"/>
          <w:bCs/>
          <w:sz w:val="24"/>
          <w:szCs w:val="24"/>
          <w:highlight w:val="none"/>
        </w:rPr>
        <w:t>2</w:t>
      </w:r>
      <w:r>
        <w:rPr>
          <w:rFonts w:hint="eastAsia" w:ascii="宋体" w:hAnsi="宋体" w:cs="宋体"/>
          <w:bCs/>
          <w:sz w:val="24"/>
          <w:szCs w:val="24"/>
          <w:highlight w:val="none"/>
        </w:rPr>
        <w:t>日</w:t>
      </w:r>
      <w:r>
        <w:rPr>
          <w:rFonts w:ascii="宋体" w:hAnsi="宋体" w:cs="宋体"/>
          <w:bCs/>
          <w:sz w:val="24"/>
          <w:szCs w:val="24"/>
          <w:highlight w:val="none"/>
        </w:rPr>
        <w:t>（含）以上开放日发生巨额赎回的</w:t>
      </w:r>
      <w:r>
        <w:rPr>
          <w:rFonts w:hint="eastAsia" w:ascii="宋体" w:hAnsi="宋体" w:cs="宋体"/>
          <w:bCs/>
          <w:sz w:val="24"/>
          <w:szCs w:val="24"/>
          <w:highlight w:val="none"/>
        </w:rPr>
        <w:t>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当前</w:t>
      </w:r>
      <w:r>
        <w:rPr>
          <w:rFonts w:ascii="宋体" w:hAnsi="宋体" w:cs="宋体"/>
          <w:bCs/>
          <w:sz w:val="24"/>
          <w:szCs w:val="24"/>
          <w:highlight w:val="none"/>
        </w:rPr>
        <w:t>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到期清算</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正常到期清算：本理财计划终止后，管理人将按照清算后的资产净值按持有份额比例对投资者进行分配，并通过销售机构最快〖</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提前终止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szCs w:val="24"/>
          <w:highlight w:val="none"/>
        </w:rPr>
        <w:t>2〗</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szCs w:val="24"/>
          <w:highlight w:val="none"/>
        </w:rPr>
        <w:t>〗</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如发生以下事项时，管理人可对本理财计划行使全部或部分提前终止权：</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因不可抗力因素导致本理财计划必须提前终止的。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理财计划的投资策略已不适合当前的市场环境的。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融资人行使提前到期或还款权利的。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管理人认为应该提前终止的其他情形。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延期</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管理人与托管人、销售机构协商一致决定延期。</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法律法规规定的或管理人认为有必要延期的其他情形。</w:t>
      </w:r>
    </w:p>
    <w:p>
      <w:pPr>
        <w:spacing w:line="360" w:lineRule="auto"/>
        <w:jc w:val="left"/>
        <w:rPr>
          <w:rFonts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信息披露</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披露内容及时间</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认购信息披露</w:t>
      </w:r>
    </w:p>
    <w:p>
      <w:pPr>
        <w:numPr>
          <w:ilvl w:val="0"/>
          <w:numId w:val="61"/>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61"/>
        </w:num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发行公告：管理人应在理财计划成立日后5个工作日内披露，包括成立日期、募集规模等信息。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运作信息披露</w:t>
      </w:r>
    </w:p>
    <w:p>
      <w:pPr>
        <w:numPr>
          <w:ilvl w:val="0"/>
          <w:numId w:val="6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当日每万份理财计划收益：管理人将根据理财计划实际投资运作情况计算存续期内每个开放日的当日每万份收益，并于下一开放日公布。非开放日的每万份收益将于下一产品开放日公布。</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临时信息披露</w:t>
      </w:r>
    </w:p>
    <w:p>
      <w:pPr>
        <w:numPr>
          <w:ilvl w:val="0"/>
          <w:numId w:val="63"/>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3"/>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披露方式</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其他</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追索条款</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信息安全</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color w:val="000000"/>
          <w:sz w:val="24"/>
          <w:szCs w:val="24"/>
          <w:highlight w:val="none"/>
        </w:rPr>
        <w:t>投资者在此同意并授权，管理人可根据监管要求，为理财计划登记等需要，向登记部门或监管机构提供投资者相关信息，授权使用时限与履行相关法律法规和监管要求的必要时限一致。</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争议解决</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特别提示</w:t>
      </w:r>
    </w:p>
    <w:p>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7"/>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8"/>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4"/>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6"/>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9"/>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59E74B3"/>
    <w:multiLevelType w:val="singleLevel"/>
    <w:tmpl w:val="859E74B3"/>
    <w:lvl w:ilvl="0" w:tentative="0">
      <w:start w:val="1"/>
      <w:numFmt w:val="decimal"/>
      <w:suff w:val="nothing"/>
      <w:lvlText w:val="（%1）"/>
      <w:lvlJc w:val="left"/>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C8426DA"/>
    <w:multiLevelType w:val="singleLevel"/>
    <w:tmpl w:val="AC8426DA"/>
    <w:lvl w:ilvl="0" w:tentative="0">
      <w:start w:val="1"/>
      <w:numFmt w:val="decimal"/>
      <w:lvlText w:val="%1."/>
      <w:lvlJc w:val="left"/>
      <w:pPr>
        <w:tabs>
          <w:tab w:val="left" w:pos="312"/>
        </w:tabs>
      </w:pPr>
    </w:lvl>
  </w:abstractNum>
  <w:abstractNum w:abstractNumId="18">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9">
    <w:nsid w:val="B08226EF"/>
    <w:multiLevelType w:val="singleLevel"/>
    <w:tmpl w:val="B08226EF"/>
    <w:lvl w:ilvl="0" w:tentative="0">
      <w:start w:val="1"/>
      <w:numFmt w:val="chineseCounting"/>
      <w:suff w:val="space"/>
      <w:lvlText w:val="第%1条"/>
      <w:lvlJc w:val="left"/>
      <w:rPr>
        <w:rFonts w:hint="eastAsia"/>
      </w:rPr>
    </w:lvl>
  </w:abstractNum>
  <w:abstractNum w:abstractNumId="20">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21">
    <w:nsid w:val="BA7A462A"/>
    <w:multiLevelType w:val="singleLevel"/>
    <w:tmpl w:val="BA7A462A"/>
    <w:lvl w:ilvl="0" w:tentative="0">
      <w:start w:val="1"/>
      <w:numFmt w:val="decimal"/>
      <w:suff w:val="nothing"/>
      <w:lvlText w:val="（%1）"/>
      <w:lvlJc w:val="left"/>
    </w:lvl>
  </w:abstractNum>
  <w:abstractNum w:abstractNumId="22">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3">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4">
    <w:nsid w:val="C93773F8"/>
    <w:multiLevelType w:val="singleLevel"/>
    <w:tmpl w:val="C93773F8"/>
    <w:lvl w:ilvl="0" w:tentative="0">
      <w:start w:val="1"/>
      <w:numFmt w:val="decimal"/>
      <w:suff w:val="nothing"/>
      <w:lvlText w:val="（%1）"/>
      <w:lvlJc w:val="left"/>
    </w:lvl>
  </w:abstractNum>
  <w:abstractNum w:abstractNumId="25">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6">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8">
    <w:nsid w:val="D8D75090"/>
    <w:multiLevelType w:val="singleLevel"/>
    <w:tmpl w:val="D8D75090"/>
    <w:lvl w:ilvl="0" w:tentative="0">
      <w:start w:val="1"/>
      <w:numFmt w:val="decimal"/>
      <w:suff w:val="nothing"/>
      <w:lvlText w:val="（%1）"/>
      <w:lvlJc w:val="left"/>
      <w:rPr>
        <w:rFonts w:hint="default"/>
        <w:b w:val="0"/>
        <w:bCs w:val="0"/>
      </w:rPr>
    </w:lvl>
  </w:abstractNum>
  <w:abstractNum w:abstractNumId="29">
    <w:nsid w:val="DD2251DF"/>
    <w:multiLevelType w:val="singleLevel"/>
    <w:tmpl w:val="DD2251DF"/>
    <w:lvl w:ilvl="0" w:tentative="0">
      <w:start w:val="1"/>
      <w:numFmt w:val="decimal"/>
      <w:suff w:val="nothing"/>
      <w:lvlText w:val="（%1）"/>
      <w:lvlJc w:val="left"/>
      <w:rPr>
        <w:rFonts w:hint="default"/>
        <w:b w:val="0"/>
        <w:bCs w:val="0"/>
      </w:rPr>
    </w:lvl>
  </w:abstractNum>
  <w:abstractNum w:abstractNumId="30">
    <w:nsid w:val="DE51CBE6"/>
    <w:multiLevelType w:val="singleLevel"/>
    <w:tmpl w:val="DE51CBE6"/>
    <w:lvl w:ilvl="0" w:tentative="0">
      <w:start w:val="1"/>
      <w:numFmt w:val="decimal"/>
      <w:suff w:val="nothing"/>
      <w:lvlText w:val="（%1）"/>
      <w:lvlJc w:val="left"/>
    </w:lvl>
  </w:abstractNum>
  <w:abstractNum w:abstractNumId="31">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2">
    <w:nsid w:val="E70DF796"/>
    <w:multiLevelType w:val="singleLevel"/>
    <w:tmpl w:val="E70DF796"/>
    <w:lvl w:ilvl="0" w:tentative="0">
      <w:start w:val="1"/>
      <w:numFmt w:val="decimal"/>
      <w:suff w:val="nothing"/>
      <w:lvlText w:val="（%1）"/>
      <w:lvlJc w:val="left"/>
    </w:lvl>
  </w:abstractNum>
  <w:abstractNum w:abstractNumId="33">
    <w:nsid w:val="EFF37F09"/>
    <w:multiLevelType w:val="singleLevel"/>
    <w:tmpl w:val="EFF37F09"/>
    <w:lvl w:ilvl="0" w:tentative="0">
      <w:start w:val="1"/>
      <w:numFmt w:val="decimal"/>
      <w:suff w:val="nothing"/>
      <w:lvlText w:val="（%1）"/>
      <w:lvlJc w:val="left"/>
      <w:rPr>
        <w:rFonts w:hint="default"/>
        <w:b w:val="0"/>
        <w:bCs w:val="0"/>
      </w:rPr>
    </w:lvl>
  </w:abstractNum>
  <w:abstractNum w:abstractNumId="34">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6">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7">
    <w:nsid w:val="F574F5B6"/>
    <w:multiLevelType w:val="singleLevel"/>
    <w:tmpl w:val="F574F5B6"/>
    <w:lvl w:ilvl="0" w:tentative="0">
      <w:start w:val="1"/>
      <w:numFmt w:val="decimal"/>
      <w:suff w:val="nothing"/>
      <w:lvlText w:val="（%1）"/>
      <w:lvlJc w:val="left"/>
    </w:lvl>
  </w:abstractNum>
  <w:abstractNum w:abstractNumId="3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9">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40">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2">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3">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4">
    <w:nsid w:val="167B0BB4"/>
    <w:multiLevelType w:val="singleLevel"/>
    <w:tmpl w:val="167B0BB4"/>
    <w:lvl w:ilvl="0" w:tentative="0">
      <w:start w:val="1"/>
      <w:numFmt w:val="decimal"/>
      <w:suff w:val="nothing"/>
      <w:lvlText w:val="（%1）"/>
      <w:lvlJc w:val="left"/>
    </w:lvl>
  </w:abstractNum>
  <w:abstractNum w:abstractNumId="45">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6">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7">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8">
    <w:nsid w:val="2CB63BE6"/>
    <w:multiLevelType w:val="singleLevel"/>
    <w:tmpl w:val="2CB63BE6"/>
    <w:lvl w:ilvl="0" w:tentative="0">
      <w:start w:val="1"/>
      <w:numFmt w:val="decimal"/>
      <w:suff w:val="nothing"/>
      <w:lvlText w:val="（%1）"/>
      <w:lvlJc w:val="left"/>
      <w:rPr>
        <w:rFonts w:hint="default"/>
        <w:b w:val="0"/>
        <w:bCs w:val="0"/>
      </w:rPr>
    </w:lvl>
  </w:abstractNum>
  <w:abstractNum w:abstractNumId="49">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5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7">
    <w:nsid w:val="4D152F81"/>
    <w:multiLevelType w:val="singleLevel"/>
    <w:tmpl w:val="4D152F81"/>
    <w:lvl w:ilvl="0" w:tentative="0">
      <w:start w:val="1"/>
      <w:numFmt w:val="decimal"/>
      <w:lvlText w:val="%1."/>
      <w:lvlJc w:val="left"/>
      <w:pPr>
        <w:tabs>
          <w:tab w:val="left" w:pos="312"/>
        </w:tabs>
      </w:pPr>
    </w:lvl>
  </w:abstractNum>
  <w:abstractNum w:abstractNumId="5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6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61">
    <w:nsid w:val="5BA91325"/>
    <w:multiLevelType w:val="singleLevel"/>
    <w:tmpl w:val="5BA91325"/>
    <w:lvl w:ilvl="0" w:tentative="0">
      <w:start w:val="1"/>
      <w:numFmt w:val="decimal"/>
      <w:suff w:val="nothing"/>
      <w:lvlText w:val="（%1）"/>
      <w:lvlJc w:val="left"/>
    </w:lvl>
  </w:abstractNum>
  <w:abstractNum w:abstractNumId="62">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3">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4">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5">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6">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7">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8">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9">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70">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71">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2">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3">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4">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5">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6">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7">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8">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9">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80">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81">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2">
    <w:nsid w:val="61F30F62"/>
    <w:multiLevelType w:val="singleLevel"/>
    <w:tmpl w:val="61F30F62"/>
    <w:lvl w:ilvl="0" w:tentative="0">
      <w:start w:val="1"/>
      <w:numFmt w:val="decimal"/>
      <w:suff w:val="nothing"/>
      <w:lvlText w:val="（%1）"/>
      <w:lvlJc w:val="left"/>
      <w:rPr>
        <w:rFonts w:hint="default"/>
        <w:b w:val="0"/>
        <w:bCs w:val="0"/>
      </w:rPr>
    </w:lvl>
  </w:abstractNum>
  <w:abstractNum w:abstractNumId="83">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4">
    <w:nsid w:val="6CC7912A"/>
    <w:multiLevelType w:val="singleLevel"/>
    <w:tmpl w:val="6CC7912A"/>
    <w:lvl w:ilvl="0" w:tentative="0">
      <w:start w:val="1"/>
      <w:numFmt w:val="decimal"/>
      <w:suff w:val="nothing"/>
      <w:lvlText w:val="（%1）"/>
      <w:lvlJc w:val="left"/>
    </w:lvl>
  </w:abstractNum>
  <w:abstractNum w:abstractNumId="85">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6">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0"/>
  </w:num>
  <w:num w:numId="3">
    <w:abstractNumId w:val="53"/>
  </w:num>
  <w:num w:numId="4">
    <w:abstractNumId w:val="46"/>
  </w:num>
  <w:num w:numId="5">
    <w:abstractNumId w:val="85"/>
  </w:num>
  <w:num w:numId="6">
    <w:abstractNumId w:val="40"/>
  </w:num>
  <w:num w:numId="7">
    <w:abstractNumId w:val="86"/>
  </w:num>
  <w:num w:numId="8">
    <w:abstractNumId w:val="59"/>
  </w:num>
  <w:num w:numId="9">
    <w:abstractNumId w:val="55"/>
  </w:num>
  <w:num w:numId="10">
    <w:abstractNumId w:val="38"/>
  </w:num>
  <w:num w:numId="11">
    <w:abstractNumId w:val="35"/>
  </w:num>
  <w:num w:numId="12">
    <w:abstractNumId w:val="42"/>
  </w:num>
  <w:num w:numId="13">
    <w:abstractNumId w:val="34"/>
  </w:num>
  <w:num w:numId="14">
    <w:abstractNumId w:val="25"/>
  </w:num>
  <w:num w:numId="15">
    <w:abstractNumId w:val="13"/>
  </w:num>
  <w:num w:numId="16">
    <w:abstractNumId w:val="22"/>
  </w:num>
  <w:num w:numId="17">
    <w:abstractNumId w:val="10"/>
  </w:num>
  <w:num w:numId="18">
    <w:abstractNumId w:val="11"/>
  </w:num>
  <w:num w:numId="19">
    <w:abstractNumId w:val="9"/>
  </w:num>
  <w:num w:numId="20">
    <w:abstractNumId w:val="41"/>
  </w:num>
  <w:num w:numId="21">
    <w:abstractNumId w:val="7"/>
  </w:num>
  <w:num w:numId="22">
    <w:abstractNumId w:val="1"/>
  </w:num>
  <w:num w:numId="23">
    <w:abstractNumId w:val="54"/>
  </w:num>
  <w:num w:numId="24">
    <w:abstractNumId w:val="37"/>
  </w:num>
  <w:num w:numId="25">
    <w:abstractNumId w:val="30"/>
  </w:num>
  <w:num w:numId="26">
    <w:abstractNumId w:val="3"/>
  </w:num>
  <w:num w:numId="27">
    <w:abstractNumId w:val="61"/>
  </w:num>
  <w:num w:numId="28">
    <w:abstractNumId w:val="47"/>
  </w:num>
  <w:num w:numId="29">
    <w:abstractNumId w:val="27"/>
  </w:num>
  <w:num w:numId="30">
    <w:abstractNumId w:val="8"/>
  </w:num>
  <w:num w:numId="31">
    <w:abstractNumId w:val="58"/>
  </w:num>
  <w:num w:numId="32">
    <w:abstractNumId w:val="6"/>
  </w:num>
  <w:num w:numId="33">
    <w:abstractNumId w:val="17"/>
  </w:num>
  <w:num w:numId="34">
    <w:abstractNumId w:val="45"/>
  </w:num>
  <w:num w:numId="35">
    <w:abstractNumId w:val="83"/>
  </w:num>
  <w:num w:numId="36">
    <w:abstractNumId w:val="39"/>
  </w:num>
  <w:num w:numId="37">
    <w:abstractNumId w:val="26"/>
  </w:num>
  <w:num w:numId="38">
    <w:abstractNumId w:val="49"/>
  </w:num>
  <w:num w:numId="39">
    <w:abstractNumId w:val="24"/>
  </w:num>
  <w:num w:numId="40">
    <w:abstractNumId w:val="29"/>
  </w:num>
  <w:num w:numId="41">
    <w:abstractNumId w:val="52"/>
  </w:num>
  <w:num w:numId="42">
    <w:abstractNumId w:val="4"/>
  </w:num>
  <w:num w:numId="43">
    <w:abstractNumId w:val="31"/>
  </w:num>
  <w:num w:numId="44">
    <w:abstractNumId w:val="20"/>
  </w:num>
  <w:num w:numId="45">
    <w:abstractNumId w:val="57"/>
  </w:num>
  <w:num w:numId="46">
    <w:abstractNumId w:val="84"/>
  </w:num>
  <w:num w:numId="47">
    <w:abstractNumId w:val="21"/>
  </w:num>
  <w:num w:numId="48">
    <w:abstractNumId w:val="56"/>
  </w:num>
  <w:num w:numId="49">
    <w:abstractNumId w:val="43"/>
  </w:num>
  <w:num w:numId="50">
    <w:abstractNumId w:val="23"/>
  </w:num>
  <w:num w:numId="51">
    <w:abstractNumId w:val="36"/>
  </w:num>
  <w:num w:numId="52">
    <w:abstractNumId w:val="32"/>
  </w:num>
  <w:num w:numId="53">
    <w:abstractNumId w:val="33"/>
  </w:num>
  <w:num w:numId="54">
    <w:abstractNumId w:val="82"/>
  </w:num>
  <w:num w:numId="55">
    <w:abstractNumId w:val="48"/>
  </w:num>
  <w:num w:numId="56">
    <w:abstractNumId w:val="2"/>
  </w:num>
  <w:num w:numId="57">
    <w:abstractNumId w:val="60"/>
  </w:num>
  <w:num w:numId="58">
    <w:abstractNumId w:val="14"/>
  </w:num>
  <w:num w:numId="59">
    <w:abstractNumId w:val="12"/>
  </w:num>
  <w:num w:numId="60">
    <w:abstractNumId w:val="15"/>
  </w:num>
  <w:num w:numId="61">
    <w:abstractNumId w:val="44"/>
  </w:num>
  <w:num w:numId="62">
    <w:abstractNumId w:val="28"/>
  </w:num>
  <w:num w:numId="63">
    <w:abstractNumId w:val="5"/>
  </w:num>
  <w:num w:numId="64">
    <w:abstractNumId w:val="51"/>
  </w:num>
  <w:num w:numId="65">
    <w:abstractNumId w:val="69"/>
  </w:num>
  <w:num w:numId="66">
    <w:abstractNumId w:val="68"/>
  </w:num>
  <w:num w:numId="67">
    <w:abstractNumId w:val="70"/>
  </w:num>
  <w:num w:numId="68">
    <w:abstractNumId w:val="71"/>
  </w:num>
  <w:num w:numId="69">
    <w:abstractNumId w:val="72"/>
  </w:num>
  <w:num w:numId="70">
    <w:abstractNumId w:val="73"/>
  </w:num>
  <w:num w:numId="71">
    <w:abstractNumId w:val="74"/>
  </w:num>
  <w:num w:numId="72">
    <w:abstractNumId w:val="75"/>
  </w:num>
  <w:num w:numId="73">
    <w:abstractNumId w:val="50"/>
  </w:num>
  <w:num w:numId="74">
    <w:abstractNumId w:val="19"/>
  </w:num>
  <w:num w:numId="75">
    <w:abstractNumId w:val="62"/>
  </w:num>
  <w:num w:numId="76">
    <w:abstractNumId w:val="63"/>
  </w:num>
  <w:num w:numId="77">
    <w:abstractNumId w:val="64"/>
  </w:num>
  <w:num w:numId="78">
    <w:abstractNumId w:val="65"/>
  </w:num>
  <w:num w:numId="79">
    <w:abstractNumId w:val="66"/>
  </w:num>
  <w:num w:numId="80">
    <w:abstractNumId w:val="67"/>
  </w:num>
  <w:num w:numId="81">
    <w:abstractNumId w:val="76"/>
  </w:num>
  <w:num w:numId="82">
    <w:abstractNumId w:val="77"/>
  </w:num>
  <w:num w:numId="83">
    <w:abstractNumId w:val="18"/>
  </w:num>
  <w:num w:numId="84">
    <w:abstractNumId w:val="78"/>
  </w:num>
  <w:num w:numId="85">
    <w:abstractNumId w:val="79"/>
  </w:num>
  <w:num w:numId="86">
    <w:abstractNumId w:val="80"/>
  </w:num>
  <w:num w:numId="8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A970DA7"/>
    <w:rsid w:val="0CB54915"/>
    <w:rsid w:val="0CB677F6"/>
    <w:rsid w:val="0CE01EEC"/>
    <w:rsid w:val="0D2F3D4F"/>
    <w:rsid w:val="0D5B65FA"/>
    <w:rsid w:val="0D7A6610"/>
    <w:rsid w:val="0E0C54BC"/>
    <w:rsid w:val="0E4F5341"/>
    <w:rsid w:val="10E7747B"/>
    <w:rsid w:val="10F25E29"/>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5DB55FB"/>
    <w:rsid w:val="377307FA"/>
    <w:rsid w:val="3B1C12F3"/>
    <w:rsid w:val="3B7F74DF"/>
    <w:rsid w:val="3BD53B5C"/>
    <w:rsid w:val="3BFDBE8B"/>
    <w:rsid w:val="3CC57F13"/>
    <w:rsid w:val="3D4C282D"/>
    <w:rsid w:val="3D970F4E"/>
    <w:rsid w:val="3DE106C6"/>
    <w:rsid w:val="3E540971"/>
    <w:rsid w:val="3E786275"/>
    <w:rsid w:val="3E931F0D"/>
    <w:rsid w:val="3F7E2660"/>
    <w:rsid w:val="3F7F862F"/>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501840BA"/>
    <w:rsid w:val="52B042C0"/>
    <w:rsid w:val="53827B5D"/>
    <w:rsid w:val="53E86B53"/>
    <w:rsid w:val="54D66C67"/>
    <w:rsid w:val="556B9EA3"/>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993141"/>
    <w:rsid w:val="659F27EB"/>
    <w:rsid w:val="659F600E"/>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2D5D357"/>
    <w:rsid w:val="730C182D"/>
    <w:rsid w:val="73FC9A3F"/>
    <w:rsid w:val="751974A1"/>
    <w:rsid w:val="758B30E4"/>
    <w:rsid w:val="75F42331"/>
    <w:rsid w:val="761F7C3C"/>
    <w:rsid w:val="76683D2A"/>
    <w:rsid w:val="76C62D9E"/>
    <w:rsid w:val="76EDDC0D"/>
    <w:rsid w:val="77CE2F69"/>
    <w:rsid w:val="77F748F0"/>
    <w:rsid w:val="77FF016E"/>
    <w:rsid w:val="78244617"/>
    <w:rsid w:val="7A923507"/>
    <w:rsid w:val="7ACB640D"/>
    <w:rsid w:val="7BAFC4E9"/>
    <w:rsid w:val="7BFF1A29"/>
    <w:rsid w:val="7C044D89"/>
    <w:rsid w:val="7C5B8E26"/>
    <w:rsid w:val="7C63442B"/>
    <w:rsid w:val="7D3AA22F"/>
    <w:rsid w:val="7DE35ECA"/>
    <w:rsid w:val="7DF6638E"/>
    <w:rsid w:val="7DFF4E2E"/>
    <w:rsid w:val="7E1A0C5A"/>
    <w:rsid w:val="7E3212D3"/>
    <w:rsid w:val="7F0C649A"/>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 w:val="FFFF1F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qFormat/>
    <w:uiPriority w:val="0"/>
    <w:rPr>
      <w:rFonts w:ascii="Arial" w:hAnsi="Arial" w:eastAsia="宋体"/>
      <w:b/>
      <w:sz w:val="24"/>
    </w:rPr>
  </w:style>
  <w:style w:type="character" w:customStyle="1" w:styleId="30">
    <w:name w:val="标题 3 字符"/>
    <w:link w:val="4"/>
    <w:qFormat/>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39089</Words>
  <Characters>41135</Characters>
  <Lines>1</Lines>
  <Paragraphs>1</Paragraphs>
  <TotalTime>1</TotalTime>
  <ScaleCrop>false</ScaleCrop>
  <LinksUpToDate>false</LinksUpToDate>
  <CharactersWithSpaces>41496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hccb</cp:lastModifiedBy>
  <dcterms:modified xsi:type="dcterms:W3CDTF">2026-04-14T06:47:56Z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3F34E6FC6FB21CFC289EDD69AE9A9EEB_43</vt:lpwstr>
  </property>
</Properties>
</file>