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幸福99丰裕固收386天25079期理财J款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幸福99丰裕固收386天25079期理财J款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2026年5月13日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幸福99丰裕固收386天25079期理财J款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FYG25079J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Z7002225000140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2025-04-22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2026-05-13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1.0304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1.0304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2.85%-3.25%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2.8746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1,523,716.16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2026年5月14日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