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幸福99丰裕固收387天25182期理财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幸福99丰裕固收387天25182期理财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FYG25182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Z7002225000346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2025年9月29日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2026年10月21日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2.45-2.75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2,295,349,417.67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111.07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2,295,349,417.67</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2,262,665,383.00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1.0144</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1.0144</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1.0138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1.0138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354,879,653.37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484,307,907.20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145,335,748.46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161,987,112.99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141,672,200.99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丰裕固收25182期H款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10,525,564.47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丰裕固收25182期I款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1.0138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1.0138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426,819.39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丰裕固收25182期J款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FYG25182J</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468,868,192.71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丰裕固收25182期K款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FYG25182K</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1.0138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1.0138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7,322,441.29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丰裕固收25182期N款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1,816,535.82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丰裕固收25182期O款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FYG25182O</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1.0149</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1.0149</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18,521,053.20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丰裕固收25182期P款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37,212,313.75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丰裕固收25182期Q款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FYG25182Q</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52,323,414.47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丰裕固收25182期R款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5,203,394.60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丰裕固收25182期S款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19,345,490.40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丰裕固收25182期U款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FYG25182U</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41,684,175.48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丰裕固收25182期V款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FYG25182V</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19,280,407.50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丰裕固收25182期W款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1.0138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1.0138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195,770,029.82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丰裕固收25182期X款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FYG25182X</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2,228,482.71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丰裕固收25182期Y款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FYG25182Y</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88,454,084.26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丰裕固收25182期Z款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FYG25182Z</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38,184,394.79</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丰裕固收25182期H款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丰裕固收25182期I款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丰裕固收25182期J款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丰裕固收25182期K款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丰裕固收25182期N款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丰裕固收25182期O款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丰裕固收25182期P款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丰裕固收25182期Q款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丰裕固收25182期R款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丰裕固收25182期S款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丰裕固收25182期U款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丰裕固收25182期V款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丰裕固收25182期W款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丰裕固收25182期X款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丰裕固收25182期Y款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丰裕固收25182期Z款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2.95</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信用债在非银欠配的逻辑下利差和收益率仍有压缩空间，但需警惕输入性通胀及政府债供给对长端的阶段性压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0.37</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47.55</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71.41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16.91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52.08</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24武经03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165,995,001.48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7.23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交银国信-安盈固收T0029号-东阳交投信托贷款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141,101,417.83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6.15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25巢湖城镇MTN002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102,626,975.34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4.47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25舟蓬01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100,645,462.01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4.38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上海信托-大目湾4号-象山大目湾信托贷款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97,004,785.28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4.23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交银国信-融诚1201号-临平交通信托贷款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80,039,701.58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江苏信托-汇泽7号-金坛投资信托贷款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74,019,772.76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25金华多湖PPN001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71,860,399.59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25灵山01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71,728,906.03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24吴兴城投PPN004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71,707,315.34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245,033,288.15</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10.68</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东阳市交通投资建设集团有限公司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交银国信-安盈固收T0029号-东阳交投信托贷款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2026-10-19</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141,101,417.83</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杭州临平交通集团有限公司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交银国信-融诚1201号-临平交通信托贷款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2026-10-12</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80,039,701.58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江苏金坛投资集团有限公司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江苏信托-汇泽7号-金坛投资信托贷款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2026-10-20</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74,019,772.76</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淮安市交通产业投资发展集团有限公司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江苏信托-汇泽2号-淮安交通信托贷款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2026-10-20</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50,947,935.84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象山县大目湾新城投资开发有限公司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上海信托-大目湾4号-象山大目湾信托贷款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2026-10-19</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97,004,785.28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2,262,665,383.00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2,262,665,383.00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杭银理财幸福99丰裕固收387天25182期理财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3301040160015309811-5125182</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