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杭银理财幸福99半年添益2010期理财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杭银理财幸福99半年添益2010期理财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TYG6M2010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2.1014%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0.6308%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4.8442%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4.0661%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4.1915%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杭银理财幸福99半年添益2010期理财B款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TYG6M2010B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2.1748%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杭银理财幸福99半年添益2010期理财W款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TYG6M2010W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2.8517%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杭银理财幸福99半年添益2010期理财ZA款（自动赎回）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TYG6M2010ZA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2.0628%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杭银理财幸福99半年添益2010期理财ZM款自动赎回（天府·优选）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TYG6M2010ZM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2.0628%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2026年5月27日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