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2.0 -->
  <w:body>
    <w:p w:rsidR="00B11AE6" w:rsidRPr="00AC3F90" w14:paraId="46DC2DCF" w14:textId="77777777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8"/>
          <w:szCs w:val="28"/>
        </w:rPr>
      </w:pPr>
      <w:r w:rsidRPr="00AC3F90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8"/>
          <w:szCs w:val="28"/>
        </w:rPr>
        <w:t>幸福99丰裕固收386天25123期理财J款</w:t>
      </w:r>
    </w:p>
    <w:p w:rsidR="00B11AE6" w:rsidRPr="00AC3F90" w14:paraId="07D63E56" w14:textId="77777777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8"/>
          <w:szCs w:val="28"/>
        </w:rPr>
      </w:pPr>
      <w:r w:rsidRPr="00AC3F90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8"/>
          <w:szCs w:val="28"/>
        </w:rPr>
        <w:t>产品到期兑付公告</w:t>
      </w:r>
    </w:p>
    <w:p w:rsidR="00B11AE6" w14:paraId="41221E71" w14:textId="77777777">
      <w:pPr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尊敬的投资者：</w:t>
      </w:r>
    </w:p>
    <w:p w:rsidR="00B11AE6" w14:paraId="54F6AD8A" w14:textId="77777777">
      <w:pPr>
        <w:ind w:firstLine="48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幸福99丰裕固收386天25123期理财J款</w:t>
      </w:r>
      <w:r>
        <w:rPr>
          <w:rFonts w:asciiTheme="minorEastAsia" w:hAnsiTheme="minorEastAsia" w:cstheme="minorEastAsia" w:hint="eastAsia"/>
          <w:sz w:val="28"/>
          <w:szCs w:val="28"/>
        </w:rPr>
        <w:t>产品已于</w:t>
      </w:r>
      <w:r>
        <w:rPr>
          <w:sz w:val="28"/>
        </w:rPr>
        <w:t>2026年7月23日</w:t>
      </w:r>
      <w:r>
        <w:rPr>
          <w:sz w:val="28"/>
        </w:rPr>
        <w:t>到期终止，现将相关信息公告如下：</w:t>
      </w:r>
    </w:p>
    <w:tbl>
      <w:tblPr>
        <w:tblStyle w:val="TableGrid"/>
        <w:tblW w:w="8516" w:type="dxa"/>
        <w:jc w:val="center"/>
        <w:tblLayout w:type="fixed"/>
        <w:tblLook w:val="04A0"/>
      </w:tblPr>
      <w:tblGrid>
        <w:gridCol w:w="3934"/>
        <w:gridCol w:w="4582"/>
      </w:tblGrid>
      <w:tr w14:paraId="522F2267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166C74D5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产品名称</w:t>
            </w:r>
          </w:p>
        </w:tc>
        <w:tc>
          <w:tcPr>
            <w:tcW w:w="4582" w:type="dxa"/>
            <w:vAlign w:val="center"/>
          </w:tcPr>
          <w:p w:rsidR="00B11AE6" w14:paraId="59CABFDB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幸福99丰裕固收386天25123期理财J款</w:t>
            </w:r>
          </w:p>
        </w:tc>
      </w:tr>
      <w:tr w14:paraId="4B01D9BB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7547AE32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理财产品代码</w:t>
            </w:r>
          </w:p>
        </w:tc>
        <w:tc>
          <w:tcPr>
            <w:tcW w:w="4582" w:type="dxa"/>
            <w:vAlign w:val="center"/>
          </w:tcPr>
          <w:p w:rsidR="00B11AE6" w14:paraId="59F299C4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FYG25123J</w:t>
            </w:r>
          </w:p>
        </w:tc>
      </w:tr>
      <w:tr w14:paraId="0FC0B973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210AB97F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产品登记编码</w:t>
            </w:r>
          </w:p>
        </w:tc>
        <w:tc>
          <w:tcPr>
            <w:tcW w:w="4582" w:type="dxa"/>
            <w:vAlign w:val="center"/>
          </w:tcPr>
          <w:p w:rsidR="00B11AE6" w14:paraId="337AF975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Z7002225000210</w:t>
            </w:r>
            <w:r>
              <w:rPr>
                <w:rFonts w:asciiTheme="minorEastAsia" w:hAnsiTheme="minorEastAsia" w:cstheme="minorEastAsia" w:hint="eastAsia"/>
                <w:sz w:val="24"/>
              </w:rPr>
              <w:t>（可在中国</w:t>
            </w:r>
            <w:r>
              <w:rPr>
                <w:rFonts w:asciiTheme="minorEastAsia" w:hAnsiTheme="minorEastAsia" w:cstheme="minorEastAsia" w:hint="eastAsia"/>
                <w:sz w:val="24"/>
              </w:rPr>
              <w:t>理财网</w:t>
            </w:r>
            <w:r>
              <w:rPr>
                <w:rFonts w:asciiTheme="minorEastAsia" w:hAnsiTheme="minorEastAsia" w:cstheme="minorEastAsia" w:hint="eastAsia"/>
                <w:sz w:val="24"/>
              </w:rPr>
              <w:t xml:space="preserve"> www.chinawealth.com.cn 查询产品信息） </w:t>
            </w:r>
          </w:p>
        </w:tc>
      </w:tr>
      <w:tr w14:paraId="46C52F91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6F97303D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产品起始日期</w:t>
            </w:r>
          </w:p>
        </w:tc>
        <w:tc>
          <w:tcPr>
            <w:tcW w:w="4582" w:type="dxa"/>
            <w:vAlign w:val="center"/>
          </w:tcPr>
          <w:p w:rsidR="00B11AE6" w14:paraId="16228E99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2025-07-02</w:t>
            </w:r>
          </w:p>
        </w:tc>
      </w:tr>
      <w:tr w14:paraId="1698B29F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15BE990E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产品终止日期</w:t>
            </w:r>
          </w:p>
        </w:tc>
        <w:tc>
          <w:tcPr>
            <w:tcW w:w="4582" w:type="dxa"/>
            <w:vAlign w:val="center"/>
          </w:tcPr>
          <w:p w:rsidR="00B11AE6" w14:paraId="4C027D96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2026-07-23</w:t>
            </w:r>
          </w:p>
        </w:tc>
      </w:tr>
      <w:tr w14:paraId="4C81896A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7B092A0B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产品存续天数</w:t>
            </w:r>
          </w:p>
        </w:tc>
        <w:tc>
          <w:tcPr>
            <w:tcW w:w="4582" w:type="dxa"/>
            <w:vAlign w:val="center"/>
          </w:tcPr>
          <w:p w:rsidR="00B11AE6" w14:paraId="299ECF40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386</w:t>
            </w:r>
          </w:p>
        </w:tc>
      </w:tr>
      <w:tr w14:paraId="59BCDFDD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20818612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产品累计净值</w:t>
            </w:r>
          </w:p>
        </w:tc>
        <w:tc>
          <w:tcPr>
            <w:tcW w:w="4582" w:type="dxa"/>
            <w:vAlign w:val="center"/>
          </w:tcPr>
          <w:p w:rsidR="00B11AE6" w14:paraId="24011CDC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1.0292</w:t>
            </w:r>
          </w:p>
        </w:tc>
      </w:tr>
      <w:tr w14:paraId="64E68781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3DE5071D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产品到期兑付净值</w:t>
            </w:r>
          </w:p>
        </w:tc>
        <w:tc>
          <w:tcPr>
            <w:tcW w:w="4582" w:type="dxa"/>
            <w:vAlign w:val="center"/>
          </w:tcPr>
          <w:p w:rsidR="00B11AE6" w14:paraId="164EB79C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1.0292</w:t>
            </w:r>
          </w:p>
        </w:tc>
      </w:tr>
      <w:tr w14:paraId="626DC2BC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7AE943AA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业绩比较基准</w:t>
            </w:r>
          </w:p>
        </w:tc>
        <w:tc>
          <w:tcPr>
            <w:tcW w:w="4582" w:type="dxa"/>
            <w:vAlign w:val="center"/>
          </w:tcPr>
          <w:p w:rsidR="00B11AE6" w:rsidP="00B21744" w14:paraId="61D5CEDC" w14:textId="77777777">
            <w:pPr>
              <w:jc w:val="left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2.75%-3.05%</w:t>
            </w:r>
          </w:p>
        </w:tc>
      </w:tr>
      <w:tr w14:paraId="7A6BA367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27D486F5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折合年化收益率</w:t>
            </w:r>
          </w:p>
        </w:tc>
        <w:tc>
          <w:tcPr>
            <w:tcW w:w="4582" w:type="dxa"/>
            <w:vAlign w:val="center"/>
          </w:tcPr>
          <w:p w:rsidR="00B11AE6" w14:paraId="1F4A249F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2.7611</w:t>
            </w:r>
            <w:r>
              <w:rPr>
                <w:rFonts w:asciiTheme="minorEastAsia" w:hAnsiTheme="minorEastAsia" w:cstheme="minorEastAsia" w:hint="eastAsia"/>
                <w:sz w:val="24"/>
              </w:rPr>
              <w:t>%</w:t>
            </w:r>
          </w:p>
        </w:tc>
      </w:tr>
      <w:tr w14:paraId="0256F1C5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0E6896BD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固定管理费</w:t>
            </w:r>
          </w:p>
        </w:tc>
        <w:tc>
          <w:tcPr>
            <w:tcW w:w="4582" w:type="dxa"/>
            <w:vAlign w:val="center"/>
          </w:tcPr>
          <w:p w:rsidR="00B11AE6" w14:paraId="5D6B8EED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0.05%</w:t>
            </w:r>
          </w:p>
        </w:tc>
      </w:tr>
      <w:tr w14:paraId="3F9E8069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5C85B39C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销售服务费</w:t>
            </w:r>
          </w:p>
        </w:tc>
        <w:tc>
          <w:tcPr>
            <w:tcW w:w="4582" w:type="dxa"/>
            <w:vAlign w:val="center"/>
          </w:tcPr>
          <w:p w:rsidR="00B11AE6" w14:paraId="1048457D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0.05%</w:t>
            </w:r>
          </w:p>
        </w:tc>
      </w:tr>
      <w:tr w14:paraId="0B5E4475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3EB1183B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浮动管理费</w:t>
            </w:r>
          </w:p>
        </w:tc>
        <w:tc>
          <w:tcPr>
            <w:tcW w:w="4582" w:type="dxa"/>
            <w:vAlign w:val="center"/>
          </w:tcPr>
          <w:p w:rsidR="00B11AE6" w14:paraId="2AFB7257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50.00%</w:t>
            </w:r>
          </w:p>
        </w:tc>
      </w:tr>
      <w:tr w14:paraId="5CB6367E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3A74EF9B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托管费</w:t>
            </w:r>
          </w:p>
        </w:tc>
        <w:tc>
          <w:tcPr>
            <w:tcW w:w="4582" w:type="dxa"/>
            <w:vAlign w:val="center"/>
          </w:tcPr>
          <w:p w:rsidR="00B11AE6" w14:paraId="3318E281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0.025</w:t>
            </w:r>
            <w:r>
              <w:rPr>
                <w:rFonts w:asciiTheme="minorEastAsia" w:hAnsiTheme="minorEastAsia" w:cstheme="minorEastAsia" w:hint="eastAsia"/>
                <w:sz w:val="24"/>
              </w:rPr>
              <w:t>%</w:t>
            </w:r>
          </w:p>
        </w:tc>
      </w:tr>
      <w:tr w14:paraId="497525D8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5555727D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其他费用</w:t>
            </w:r>
          </w:p>
        </w:tc>
        <w:tc>
          <w:tcPr>
            <w:tcW w:w="4582" w:type="dxa"/>
            <w:vAlign w:val="center"/>
          </w:tcPr>
          <w:p w:rsidR="00B11AE6" w14:paraId="4A1602C5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0.00%</w:t>
            </w:r>
          </w:p>
        </w:tc>
      </w:tr>
      <w:tr w14:paraId="3583FC4B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2E39A6FD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收益分配情况（单位：</w:t>
            </w:r>
            <w:r>
              <w:rPr>
                <w:sz w:val="24"/>
              </w:rPr>
              <w:t>人民币元</w:t>
            </w:r>
            <w:r>
              <w:rPr>
                <w:sz w:val="24"/>
              </w:rPr>
              <w:t>）</w:t>
            </w:r>
          </w:p>
        </w:tc>
        <w:tc>
          <w:tcPr>
            <w:tcW w:w="4582" w:type="dxa"/>
            <w:vAlign w:val="center"/>
          </w:tcPr>
          <w:p w:rsidR="00B11AE6" w14:paraId="74C7F161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4,573,681.47</w:t>
            </w:r>
          </w:p>
        </w:tc>
      </w:tr>
    </w:tbl>
    <w:p w:rsidR="00B11AE6" w14:paraId="23728C02" w14:textId="77777777">
      <w:pPr>
        <w:rPr>
          <w:rFonts w:asciiTheme="minorEastAsia" w:hAnsiTheme="minorEastAsia" w:cstheme="minorEastAsia" w:hint="eastAsia"/>
          <w:sz w:val="24"/>
          <w:szCs w:val="22"/>
        </w:rPr>
      </w:pPr>
    </w:p>
    <w:p w:rsidR="00B11AE6" w14:paraId="7C71FC7E" w14:textId="77777777">
      <w:pPr>
        <w:ind w:firstLine="560" w:firstLineChars="200"/>
        <w:rPr>
          <w:rFonts w:asciiTheme="minorEastAsia" w:hAnsiTheme="minorEastAsia" w:cstheme="minorEastAsia" w:hint="eastAsia"/>
          <w:sz w:val="28"/>
        </w:rPr>
      </w:pPr>
      <w:r>
        <w:rPr>
          <w:rFonts w:asciiTheme="minorEastAsia" w:hAnsiTheme="minorEastAsia" w:cstheme="minorEastAsia" w:hint="eastAsia"/>
          <w:sz w:val="28"/>
        </w:rPr>
        <w:t>特此公告。</w:t>
      </w:r>
    </w:p>
    <w:p w:rsidR="00B11AE6" w14:paraId="3BF070D3" w14:textId="77777777">
      <w:pPr>
        <w:rPr>
          <w:rFonts w:asciiTheme="minorEastAsia" w:hAnsiTheme="minorEastAsia" w:cstheme="minorEastAsia" w:hint="eastAsia"/>
          <w:sz w:val="24"/>
        </w:rPr>
      </w:pPr>
    </w:p>
    <w:p w:rsidR="00B11AE6" w14:paraId="12251CA8" w14:textId="77777777">
      <w:p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注：</w:t>
      </w:r>
    </w:p>
    <w:p w:rsidR="00B11AE6" w14:paraId="34C90FE1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理财计划财产在管理、运用、处分过程中产生的税费（包括但不限于增值税及相应的附加税费等），由理财计划财产承担；产品管理人对该等税费无垫付义务。前述税费（包括但不限于增值税及相应附加税费）的计算、提取及缴</w:t>
      </w:r>
      <w:r>
        <w:rPr>
          <w:rFonts w:asciiTheme="minorEastAsia" w:hAnsiTheme="minorEastAsia" w:cstheme="minorEastAsia" w:hint="eastAsia"/>
          <w:sz w:val="24"/>
        </w:rPr>
        <w:t>纳，由产品管理人按</w:t>
      </w:r>
      <w:r>
        <w:rPr>
          <w:rFonts w:asciiTheme="minorEastAsia" w:hAnsiTheme="minorEastAsia" w:cstheme="minorEastAsia" w:hint="eastAsia"/>
          <w:sz w:val="24"/>
        </w:rPr>
        <w:t>照应税</w:t>
      </w:r>
      <w:r>
        <w:rPr>
          <w:rFonts w:asciiTheme="minorEastAsia" w:hAnsiTheme="minorEastAsia" w:cstheme="minorEastAsia" w:hint="eastAsia"/>
          <w:sz w:val="24"/>
        </w:rPr>
        <w:t>行为发生时有效的相关法律法规的规定执行。支付给客户的理财收益的应纳税款由客户自行申报及缴纳。</w:t>
      </w:r>
    </w:p>
    <w:p w:rsidR="00B11AE6" w14:paraId="20730315" w14:textId="23B6A9B1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本理财产品终止日起，清算过程中</w:t>
      </w:r>
      <w:r>
        <w:rPr>
          <w:rFonts w:asciiTheme="minorEastAsia" w:hAnsiTheme="minorEastAsia" w:cstheme="minorEastAsia" w:hint="eastAsia"/>
          <w:sz w:val="24"/>
        </w:rPr>
        <w:t>各项</w:t>
      </w:r>
      <w:r w:rsidR="00D259A1">
        <w:rPr>
          <w:rFonts w:asciiTheme="minorEastAsia" w:hAnsiTheme="minorEastAsia" w:cstheme="minorEastAsia" w:hint="eastAsia"/>
          <w:sz w:val="24"/>
        </w:rPr>
        <w:t>清</w:t>
      </w:r>
      <w:r w:rsidR="00D259A1">
        <w:rPr>
          <w:rFonts w:asciiTheme="minorEastAsia" w:hAnsiTheme="minorEastAsia" w:cstheme="minorEastAsia" w:hint="eastAsia"/>
          <w:sz w:val="24"/>
        </w:rPr>
        <w:t>结算金额</w:t>
      </w:r>
      <w:r>
        <w:rPr>
          <w:rFonts w:asciiTheme="minorEastAsia" w:hAnsiTheme="minorEastAsia" w:cstheme="minorEastAsia" w:hint="eastAsia"/>
          <w:sz w:val="24"/>
        </w:rPr>
        <w:t>与实际结算金额的尾差由管理人承担。</w:t>
      </w:r>
    </w:p>
    <w:p w:rsidR="00B11AE6" w14:paraId="7749F605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托管费：原则上按日计提，逐日累计至到期日从理财计划财产中扣除。</w:t>
      </w:r>
    </w:p>
    <w:p w:rsidR="00B11AE6" w14:paraId="6B702343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固定管理费：原则上按日计提，逐日累计至到期日从理财计划财产中扣除。</w:t>
      </w:r>
    </w:p>
    <w:p w:rsidR="00B11AE6" w14:paraId="4805AE83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固定管理费、销售服务费、托管费、其他费用为对应费用的收取费率。浮动管理费为产品实际业绩超出产品说明书中约定的提取标准后，管理人对超出部分收取的超额业绩报酬比例。</w:t>
      </w:r>
    </w:p>
    <w:p w:rsidR="00B11AE6" w14:paraId="1D04A418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各期理财产品详细信息可根据产品登记编码登录中国</w:t>
      </w:r>
      <w:r>
        <w:rPr>
          <w:rFonts w:asciiTheme="minorEastAsia" w:hAnsiTheme="minorEastAsia" w:cstheme="minorEastAsia" w:hint="eastAsia"/>
          <w:sz w:val="24"/>
        </w:rPr>
        <w:t>理财网</w:t>
      </w:r>
      <w:r>
        <w:rPr>
          <w:rFonts w:asciiTheme="minorEastAsia" w:hAnsiTheme="minorEastAsia" w:cstheme="minorEastAsia" w:hint="eastAsia"/>
          <w:sz w:val="24"/>
        </w:rPr>
        <w:t>进行查询。</w:t>
      </w:r>
    </w:p>
    <w:p w:rsidR="00B11AE6" w14:paraId="5617F1A7" w14:textId="77777777">
      <w:pPr>
        <w:ind w:left="360"/>
        <w:jc w:val="right"/>
        <w:rPr>
          <w:rFonts w:ascii="仿宋_GB2312" w:eastAsia="仿宋_GB2312" w:hAnsi="仿宋_GB2312" w:cs="仿宋_GB2312" w:hint="eastAsia"/>
          <w:sz w:val="24"/>
        </w:rPr>
      </w:pPr>
    </w:p>
    <w:p w:rsidR="00B11AE6" w14:paraId="6F9E71B3" w14:textId="77777777">
      <w:pPr>
        <w:ind w:left="360"/>
        <w:jc w:val="right"/>
        <w:rPr>
          <w:rFonts w:ascii="仿宋_GB2312" w:eastAsia="仿宋_GB2312" w:hAnsi="仿宋_GB2312" w:cs="仿宋_GB2312" w:hint="eastAsia"/>
          <w:sz w:val="28"/>
          <w:szCs w:val="28"/>
        </w:rPr>
      </w:pPr>
    </w:p>
    <w:p w:rsidR="00B11AE6" w14:paraId="2C7CDEA8" w14:textId="77777777">
      <w:pPr>
        <w:ind w:left="360"/>
        <w:jc w:val="righ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杭银理财</w:t>
      </w:r>
      <w:r>
        <w:rPr>
          <w:rFonts w:asciiTheme="minorEastAsia" w:hAnsiTheme="minorEastAsia" w:cstheme="minorEastAsia" w:hint="eastAsia"/>
          <w:sz w:val="28"/>
          <w:szCs w:val="28"/>
        </w:rPr>
        <w:t>有限责任公司</w:t>
      </w:r>
    </w:p>
    <w:p w:rsidR="00B11AE6" w14:paraId="4D76ABF8" w14:textId="77777777">
      <w:pPr>
        <w:jc w:val="righ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2026年7月24日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1AE6" w14:paraId="02B4036F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D3811CC"/>
    <w:multiLevelType w:val="multilevel"/>
    <w:tmpl w:val="1D3811CC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848569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20"/>
  <w:embedSystemFonts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00A72"/>
    <w:rsid w:val="002469CB"/>
    <w:rsid w:val="002B4BBF"/>
    <w:rsid w:val="003841A4"/>
    <w:rsid w:val="00412E97"/>
    <w:rsid w:val="005200AA"/>
    <w:rsid w:val="00573563"/>
    <w:rsid w:val="00592C06"/>
    <w:rsid w:val="005E397D"/>
    <w:rsid w:val="00603D57"/>
    <w:rsid w:val="00632F14"/>
    <w:rsid w:val="006D7051"/>
    <w:rsid w:val="0073172D"/>
    <w:rsid w:val="00735747"/>
    <w:rsid w:val="007809D7"/>
    <w:rsid w:val="007A3E72"/>
    <w:rsid w:val="007B0559"/>
    <w:rsid w:val="00860348"/>
    <w:rsid w:val="00863721"/>
    <w:rsid w:val="008C68DB"/>
    <w:rsid w:val="008D2DFF"/>
    <w:rsid w:val="009D66D1"/>
    <w:rsid w:val="00AC2AB6"/>
    <w:rsid w:val="00AC3F90"/>
    <w:rsid w:val="00B11AE6"/>
    <w:rsid w:val="00B21744"/>
    <w:rsid w:val="00BB5D37"/>
    <w:rsid w:val="00C10907"/>
    <w:rsid w:val="00C47DF8"/>
    <w:rsid w:val="00C87BF7"/>
    <w:rsid w:val="00D00D6A"/>
    <w:rsid w:val="00D259A1"/>
    <w:rsid w:val="00E846FF"/>
    <w:rsid w:val="00F965A1"/>
    <w:rsid w:val="00FA50AB"/>
    <w:rsid w:val="050F5184"/>
    <w:rsid w:val="0AB0656E"/>
    <w:rsid w:val="0CB459D4"/>
    <w:rsid w:val="151D7E14"/>
    <w:rsid w:val="18462C74"/>
    <w:rsid w:val="190B63BC"/>
    <w:rsid w:val="1F0A0FE5"/>
    <w:rsid w:val="1F48553E"/>
    <w:rsid w:val="21F964F5"/>
    <w:rsid w:val="28362D7D"/>
    <w:rsid w:val="2AB67C98"/>
    <w:rsid w:val="3286081F"/>
    <w:rsid w:val="3BF50A6E"/>
    <w:rsid w:val="3C231661"/>
    <w:rsid w:val="3E174A3C"/>
    <w:rsid w:val="3ED86525"/>
    <w:rsid w:val="3F221A4C"/>
    <w:rsid w:val="3FC04F0B"/>
    <w:rsid w:val="447B660D"/>
    <w:rsid w:val="462266D9"/>
    <w:rsid w:val="4C4A04BD"/>
    <w:rsid w:val="50B7489E"/>
    <w:rsid w:val="50DC0E7A"/>
    <w:rsid w:val="548E4345"/>
    <w:rsid w:val="595715BE"/>
    <w:rsid w:val="5A7F5A78"/>
    <w:rsid w:val="600F7924"/>
    <w:rsid w:val="612B75BF"/>
    <w:rsid w:val="661D745C"/>
    <w:rsid w:val="6687052B"/>
    <w:rsid w:val="6B6670CE"/>
    <w:rsid w:val="6D5B6E8B"/>
    <w:rsid w:val="6D623B7E"/>
    <w:rsid w:val="6E683E61"/>
    <w:rsid w:val="71B3167E"/>
    <w:rsid w:val="78026722"/>
    <w:rsid w:val="79337090"/>
    <w:rsid w:val="7EA037DA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2578BD6"/>
  <w15:docId w15:val="{9161B409-4ACC-4B12-A793-B6166DB3E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28</cp:revision>
  <dcterms:created xsi:type="dcterms:W3CDTF">2022-08-17T14:47:00Z</dcterms:created>
  <dcterms:modified xsi:type="dcterms:W3CDTF">2026-02-11T02:35:00Z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