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2.0 -->
  <w:body>
    <w:p w:rsidR="0038378B" w14:paraId="7C753921" w14:textId="77777777">
      <w:pPr>
        <w:widowControl/>
        <w:shd w:val="clear" w:color="auto" w:fill="FFFFFF"/>
        <w:spacing w:after="225" w:line="360" w:lineRule="atLeast"/>
        <w:jc w:val="center"/>
        <w:rPr>
          <w:rFonts w:asciiTheme="minorEastAsia" w:hAnsiTheme="minorEastAsia" w:cstheme="minorEastAsia" w:hint="eastAsia"/>
          <w:b/>
          <w:bCs/>
          <w:color w:val="004EA2"/>
          <w:kern w:val="0"/>
          <w:sz w:val="28"/>
          <w:szCs w:val="28"/>
        </w:rPr>
      </w:pPr>
      <w:r>
        <w:rPr>
          <w:rFonts w:asciiTheme="minorEastAsia" w:hAnsiTheme="minorEastAsia" w:cstheme="minorEastAsia" w:hint="eastAsia"/>
          <w:b/>
          <w:bCs/>
          <w:color w:val="004EA2"/>
          <w:kern w:val="0"/>
          <w:sz w:val="40"/>
          <w:szCs w:val="40"/>
        </w:rPr>
        <w:t>理财产品到期公告</w:t>
      </w:r>
    </w:p>
    <w:p w:rsidR="0038378B" w14:paraId="381DAFBC" w14:textId="77777777">
      <w:pPr>
        <w:widowControl/>
        <w:shd w:val="clear" w:color="auto" w:fill="FFFFFF"/>
        <w:spacing w:after="0" w:line="837" w:lineRule="atLeast"/>
        <w:jc w:val="center"/>
        <w:outlineLvl w:val="1"/>
        <w:rPr>
          <w:rFonts w:asciiTheme="majorEastAsia" w:eastAsiaTheme="majorEastAsia" w:hAnsiTheme="majorEastAsia" w:cs="宋体" w:hint="eastAsia"/>
          <w:b/>
          <w:bCs/>
          <w:kern w:val="0"/>
          <w:sz w:val="28"/>
          <w:szCs w:val="28"/>
        </w:rPr>
      </w:pPr>
      <w:r>
        <w:rPr>
          <w:rFonts w:asciiTheme="majorEastAsia" w:eastAsiaTheme="majorEastAsia" w:hAnsiTheme="majorEastAsia" w:cs="宋体" w:hint="eastAsia"/>
          <w:b/>
          <w:bCs/>
          <w:color w:val="004EA2"/>
          <w:kern w:val="0"/>
          <w:sz w:val="28"/>
          <w:szCs w:val="28"/>
        </w:rPr>
        <w:t>幸福99丰裕固收386天25146期理财</w:t>
      </w:r>
      <w:r>
        <w:rPr>
          <w:rFonts w:asciiTheme="majorEastAsia" w:eastAsiaTheme="majorEastAsia" w:hAnsiTheme="majorEastAsia" w:cs="宋体" w:hint="eastAsia"/>
          <w:b/>
          <w:bCs/>
          <w:color w:val="004EA2"/>
          <w:kern w:val="0"/>
          <w:sz w:val="28"/>
          <w:szCs w:val="28"/>
        </w:rPr>
        <w:t>到期公告</w:t>
      </w:r>
    </w:p>
    <w:p w:rsidR="0038378B" w14:paraId="65EB85CD" w14:textId="77777777">
      <w:pPr>
        <w:spacing w:after="0" w:line="240" w:lineRule="auto"/>
        <w:rPr>
          <w:rFonts w:asciiTheme="minorEastAsia" w:hAnsiTheme="minorEastAsia" w:cstheme="minorEastAsia" w:hint="eastAsia"/>
          <w:sz w:val="28"/>
          <w:szCs w:val="28"/>
        </w:rPr>
      </w:pPr>
      <w:r>
        <w:rPr>
          <w:rFonts w:asciiTheme="minorEastAsia" w:hAnsiTheme="minorEastAsia" w:cstheme="minorEastAsia" w:hint="eastAsia"/>
          <w:sz w:val="28"/>
          <w:szCs w:val="28"/>
        </w:rPr>
        <w:t>尊敬的投资者：</w:t>
      </w:r>
    </w:p>
    <w:p w:rsidR="0038378B" w14:paraId="177906C1" w14:textId="77777777">
      <w:pPr>
        <w:spacing w:after="0" w:line="240" w:lineRule="auto"/>
        <w:ind w:firstLine="480"/>
        <w:rPr>
          <w:rFonts w:asciiTheme="minorEastAsia" w:hAnsiTheme="minorEastAsia" w:cstheme="minorEastAsia" w:hint="eastAsia"/>
          <w:sz w:val="28"/>
          <w:szCs w:val="28"/>
        </w:rPr>
      </w:pPr>
      <w:r>
        <w:rPr>
          <w:rFonts w:asciiTheme="minorEastAsia" w:hAnsiTheme="minorEastAsia" w:cstheme="minorEastAsia" w:hint="eastAsia"/>
          <w:sz w:val="28"/>
          <w:szCs w:val="28"/>
        </w:rPr>
        <w:t>本公司发行的</w:t>
      </w:r>
      <w:r>
        <w:rPr>
          <w:rFonts w:asciiTheme="minorEastAsia" w:hAnsiTheme="minorEastAsia" w:cstheme="minorEastAsia" w:hint="eastAsia"/>
          <w:sz w:val="28"/>
          <w:szCs w:val="28"/>
        </w:rPr>
        <w:t>幸福99丰裕固收386天25146期理财</w:t>
      </w:r>
      <w:r>
        <w:rPr>
          <w:rFonts w:asciiTheme="minorEastAsia" w:hAnsiTheme="minorEastAsia" w:cstheme="minorEastAsia" w:hint="eastAsia"/>
          <w:sz w:val="28"/>
          <w:szCs w:val="28"/>
        </w:rPr>
        <w:t>产品已到期，现将相关信息公告如下：</w:t>
      </w:r>
    </w:p>
    <w:tbl>
      <w:tblPr>
        <w:tblW w:w="8597" w:type="dxa"/>
        <w:tblLayout w:type="fixed"/>
        <w:tblLook w:val="04A0"/>
      </w:tblPr>
      <w:tblGrid>
        <w:gridCol w:w="1926"/>
        <w:gridCol w:w="1950"/>
        <w:gridCol w:w="1785"/>
        <w:gridCol w:w="2936"/>
      </w:tblGrid>
      <w:tr w14:paraId="70105C12" w14:textId="77777777">
        <w:tblPrEx>
          <w:tblW w:w="8597" w:type="dxa"/>
          <w:tblLayout w:type="fixed"/>
          <w:tblLook w:val="04A0"/>
        </w:tblPrEx>
        <w:trPr>
          <w:trHeight w:val="288"/>
        </w:trPr>
        <w:tc>
          <w:tcPr>
            <w:tcW w:w="5661" w:type="dxa"/>
            <w:gridSpan w:val="3"/>
            <w:tcBorders>
              <w:top w:val="single" w:sz="8" w:space="0" w:color="000000"/>
              <w:left w:val="single" w:sz="8" w:space="0" w:color="000000"/>
              <w:bottom w:val="single" w:sz="8" w:space="0" w:color="000000"/>
              <w:right w:val="nil"/>
            </w:tcBorders>
            <w:vAlign w:val="center"/>
          </w:tcPr>
          <w:p w:rsidR="0038378B" w14:paraId="1904E891"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产品名称</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6C5ABCF8"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幸福99丰裕固收386天25146期理财</w:t>
            </w:r>
          </w:p>
        </w:tc>
      </w:tr>
      <w:tr w14:paraId="5F828DE0"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3EA9009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产品代码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7489A4C2"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FYG25146</w:t>
            </w:r>
          </w:p>
        </w:tc>
      </w:tr>
      <w:tr w14:paraId="15D7EDB1" w14:textId="77777777">
        <w:tblPrEx>
          <w:tblW w:w="8597" w:type="dxa"/>
          <w:tblLayout w:type="fixed"/>
          <w:tblLook w:val="04A0"/>
        </w:tblPrEx>
        <w:trPr>
          <w:trHeight w:val="740"/>
        </w:trPr>
        <w:tc>
          <w:tcPr>
            <w:tcW w:w="5661" w:type="dxa"/>
            <w:gridSpan w:val="3"/>
            <w:tcBorders>
              <w:top w:val="single" w:sz="8" w:space="0" w:color="000000"/>
              <w:left w:val="single" w:sz="8" w:space="0" w:color="000000"/>
              <w:bottom w:val="single" w:sz="8" w:space="0" w:color="000000"/>
              <w:right w:val="nil"/>
            </w:tcBorders>
            <w:vAlign w:val="center"/>
          </w:tcPr>
          <w:p w:rsidR="0038378B" w14:paraId="2E89BDB1"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登记编码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753EF7AE" w14:textId="77777777">
            <w:pPr>
              <w:spacing w:after="0" w:line="240" w:lineRule="auto"/>
              <w:jc w:val="center"/>
              <w:rPr>
                <w:rFonts w:eastAsia="宋体" w:asciiTheme="minorEastAsia" w:hAnsiTheme="minorEastAsia" w:cstheme="minorEastAsia" w:hint="eastAsia"/>
                <w:sz w:val="24"/>
              </w:rPr>
            </w:pPr>
            <w:r>
              <w:rPr>
                <w:rFonts w:eastAsia="宋体" w:asciiTheme="minorEastAsia" w:hAnsiTheme="minorEastAsia" w:cstheme="minorEastAsia" w:hint="eastAsia"/>
                <w:sz w:val="24"/>
              </w:rPr>
              <w:t>Z7002225000281</w:t>
            </w:r>
          </w:p>
          <w:p w:rsidR="0038378B" w14:paraId="0BB0B9E3" w14:textId="77777777">
            <w:pPr>
              <w:spacing w:after="0" w:line="240" w:lineRule="auto"/>
              <w:jc w:val="center"/>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rPr>
              <w:t>（可在中国理财网</w:t>
            </w:r>
            <w:r>
              <w:rPr>
                <w:rFonts w:eastAsia="宋体" w:asciiTheme="minorEastAsia" w:hAnsiTheme="minorEastAsia" w:cstheme="minorEastAsia" w:hint="eastAsia"/>
                <w:sz w:val="24"/>
              </w:rPr>
              <w:t xml:space="preserve"> www.chinawealth.com.cn </w:t>
            </w:r>
            <w:r>
              <w:rPr>
                <w:rFonts w:eastAsia="宋体" w:asciiTheme="minorEastAsia" w:hAnsiTheme="minorEastAsia" w:cstheme="minorEastAsia" w:hint="eastAsia"/>
                <w:sz w:val="24"/>
              </w:rPr>
              <w:t>查询产品信息）</w:t>
            </w:r>
          </w:p>
        </w:tc>
      </w:tr>
      <w:tr w14:paraId="2C1F4656"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17C669E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产品成立日期</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31DAA601"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2025年8月5日</w:t>
            </w:r>
          </w:p>
        </w:tc>
      </w:tr>
      <w:tr w14:paraId="32717D54"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46DA2024"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产品到期日期</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390FE92F"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2026年8月26日</w:t>
            </w:r>
          </w:p>
        </w:tc>
      </w:tr>
      <w:tr w14:paraId="7FED1B1A"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46E1BD68"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存续期限</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D2C19F8"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386</w:t>
            </w:r>
          </w:p>
        </w:tc>
      </w:tr>
      <w:tr w14:paraId="31EE6605"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4635B6BF"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募集币种</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15B0926F"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rPr>
              <w:t>人民币</w:t>
            </w:r>
          </w:p>
        </w:tc>
      </w:tr>
      <w:tr w14:paraId="48E2E306" w14:textId="77777777">
        <w:tblPrEx>
          <w:tblW w:w="8597" w:type="dxa"/>
          <w:tblLayout w:type="fixed"/>
          <w:tblLook w:val="04A0"/>
        </w:tblPrEx>
        <w:trPr>
          <w:trHeight w:val="303"/>
        </w:trPr>
        <w:tc>
          <w:tcPr>
            <w:tcW w:w="1926" w:type="dxa"/>
            <w:vMerge w:val="restart"/>
            <w:tcBorders>
              <w:top w:val="single" w:sz="8" w:space="0" w:color="000000"/>
              <w:left w:val="single" w:sz="8" w:space="0" w:color="000000"/>
              <w:right w:val="nil"/>
            </w:tcBorders>
            <w:vAlign w:val="center"/>
          </w:tcPr>
          <w:p w:rsidR="0038378B" w14:paraId="21CCA26A" w14:textId="77777777">
            <w:pPr>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收益分配情况</w:t>
            </w:r>
          </w:p>
        </w:tc>
        <w:tc>
          <w:tcPr>
            <w:tcW w:w="3735" w:type="dxa"/>
            <w:gridSpan w:val="2"/>
            <w:tcBorders>
              <w:top w:val="single" w:sz="8" w:space="0" w:color="000000"/>
              <w:left w:val="single" w:sz="8" w:space="0" w:color="000000"/>
              <w:bottom w:val="single" w:sz="8" w:space="0" w:color="000000"/>
              <w:right w:val="nil"/>
            </w:tcBorders>
            <w:vAlign w:val="center"/>
          </w:tcPr>
          <w:p w:rsidR="0038378B" w14:paraId="427F72C2"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产品到期日份额净值</w:t>
            </w:r>
          </w:p>
          <w:p w:rsidR="0038378B" w14:paraId="2E62436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（适用于非现金管理类理财产品）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0AC1D3B1"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1.0266</w:t>
            </w:r>
          </w:p>
        </w:tc>
      </w:tr>
      <w:tr w14:paraId="3EB60881" w14:textId="77777777">
        <w:tblPrEx>
          <w:tblW w:w="8597" w:type="dxa"/>
          <w:tblLayout w:type="fixed"/>
          <w:tblLook w:val="04A0"/>
        </w:tblPrEx>
        <w:trPr>
          <w:trHeight w:val="303"/>
        </w:trPr>
        <w:tc>
          <w:tcPr>
            <w:tcW w:w="1926" w:type="dxa"/>
            <w:vMerge/>
            <w:tcBorders>
              <w:left w:val="single" w:sz="8" w:space="0" w:color="000000"/>
              <w:right w:val="nil"/>
            </w:tcBorders>
            <w:vAlign w:val="center"/>
          </w:tcPr>
          <w:p w:rsidR="0038378B" w14:paraId="432C4016" w14:textId="77777777">
            <w:pPr>
              <w:spacing w:after="0" w:line="240" w:lineRule="auto"/>
              <w:jc w:val="center"/>
              <w:textAlignment w:val="top"/>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13A35CD8"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产品到期日份额累计净值</w:t>
            </w:r>
          </w:p>
          <w:p w:rsidR="0038378B" w14:paraId="7D2D7D91"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（适用于非现金管理类理财产品）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5371F3B"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1.0266</w:t>
            </w:r>
          </w:p>
        </w:tc>
      </w:tr>
      <w:tr w14:paraId="418C0B7A" w14:textId="77777777">
        <w:tblPrEx>
          <w:tblW w:w="8597" w:type="dxa"/>
          <w:tblLayout w:type="fixed"/>
          <w:tblLook w:val="04A0"/>
        </w:tblPrEx>
        <w:trPr>
          <w:trHeight w:val="620"/>
        </w:trPr>
        <w:tc>
          <w:tcPr>
            <w:tcW w:w="1926" w:type="dxa"/>
            <w:vMerge/>
            <w:tcBorders>
              <w:left w:val="single" w:sz="8" w:space="0" w:color="000000"/>
              <w:bottom w:val="single" w:sz="8" w:space="0" w:color="000000"/>
              <w:right w:val="nil"/>
            </w:tcBorders>
            <w:vAlign w:val="center"/>
          </w:tcPr>
          <w:p w:rsidR="0038378B" w14:paraId="6871102E" w14:textId="77777777">
            <w:pPr>
              <w:widowControl/>
              <w:spacing w:after="0" w:line="240" w:lineRule="auto"/>
              <w:jc w:val="center"/>
              <w:textAlignment w:val="top"/>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5486B450"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产品到期日总份额</w:t>
            </w:r>
            <w:r>
              <w:rPr>
                <w:rFonts w:asciiTheme="minorEastAsia" w:hAnsiTheme="minorEastAsia" w:cstheme="minorEastAsia" w:hint="eastAsia"/>
                <w:color w:val="000000"/>
                <w:kern w:val="0"/>
                <w:sz w:val="24"/>
                <w:lang w:bidi="ar"/>
              </w:rPr>
              <w:br/>
            </w:r>
            <w:r>
              <w:rPr>
                <w:rFonts w:asciiTheme="minorEastAsia" w:hAnsiTheme="minorEastAsia" w:cstheme="minorEastAsia" w:hint="eastAsia"/>
                <w:color w:val="000000"/>
                <w:kern w:val="0"/>
                <w:sz w:val="24"/>
                <w:lang w:bidi="ar"/>
              </w:rPr>
              <w:t>（适用于现金管理类理财产品）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4EC047B7"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w:t>
            </w:r>
          </w:p>
        </w:tc>
      </w:tr>
      <w:tr w14:paraId="7CE4D1DC" w14:textId="77777777">
        <w:tblPrEx>
          <w:tblW w:w="8597" w:type="dxa"/>
          <w:tblLayout w:type="fixed"/>
          <w:tblLook w:val="04A0"/>
        </w:tblPrEx>
        <w:trPr>
          <w:trHeight w:val="303"/>
        </w:trPr>
        <w:tc>
          <w:tcPr>
            <w:tcW w:w="1926" w:type="dxa"/>
            <w:vMerge w:val="restart"/>
            <w:tcBorders>
              <w:top w:val="single" w:sz="8" w:space="0" w:color="000000"/>
              <w:left w:val="single" w:sz="8" w:space="0" w:color="000000"/>
              <w:right w:val="single" w:sz="8" w:space="0" w:color="000000"/>
            </w:tcBorders>
            <w:vAlign w:val="center"/>
          </w:tcPr>
          <w:p w:rsidR="0038378B" w14:paraId="34A1128D" w14:textId="77777777">
            <w:pPr>
              <w:widowControl/>
              <w:spacing w:after="0" w:line="240" w:lineRule="auto"/>
              <w:jc w:val="center"/>
              <w:textAlignment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主要收费情况</w:t>
            </w:r>
          </w:p>
        </w:tc>
        <w:tc>
          <w:tcPr>
            <w:tcW w:w="3735" w:type="dxa"/>
            <w:gridSpan w:val="2"/>
            <w:tcBorders>
              <w:top w:val="single" w:sz="8" w:space="0" w:color="000000"/>
              <w:left w:val="single" w:sz="8" w:space="0" w:color="000000"/>
              <w:bottom w:val="single" w:sz="8" w:space="0" w:color="000000"/>
              <w:right w:val="nil"/>
            </w:tcBorders>
            <w:vAlign w:val="center"/>
          </w:tcPr>
          <w:p w:rsidR="0038378B" w14:paraId="22516CC9"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固定管理费总额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28C73263" w14:textId="77777777">
            <w:pPr>
              <w:widowControl/>
              <w:spacing w:after="0" w:line="240" w:lineRule="auto"/>
              <w:jc w:val="center"/>
              <w:textAlignment w:val="top"/>
              <w:rPr>
                <w:rFonts w:asciiTheme="minorEastAsia" w:hAnsiTheme="minorEastAsia" w:cstheme="minorEastAsia" w:hint="eastAsia"/>
                <w:color w:val="000000"/>
                <w:sz w:val="24"/>
              </w:rPr>
            </w:pPr>
            <w:r>
              <w:rPr>
                <w:rFonts w:eastAsia="宋体" w:asciiTheme="minorEastAsia" w:hAnsiTheme="minorEastAsia" w:cstheme="minorEastAsia" w:hint="eastAsia"/>
                <w:sz w:val="24"/>
                <w:szCs w:val="22"/>
              </w:rPr>
              <w:t>613,890.96</w:t>
            </w:r>
            <w:r>
              <w:rPr>
                <w:sz w:val="24"/>
              </w:rPr>
              <w:t>元</w:t>
            </w:r>
          </w:p>
        </w:tc>
      </w:tr>
      <w:tr w14:paraId="5CF5B4A2" w14:textId="77777777">
        <w:tblPrEx>
          <w:tblW w:w="8597" w:type="dxa"/>
          <w:tblLayout w:type="fixed"/>
          <w:tblLook w:val="04A0"/>
        </w:tblPrEx>
        <w:trPr>
          <w:trHeight w:val="303"/>
        </w:trPr>
        <w:tc>
          <w:tcPr>
            <w:tcW w:w="1926" w:type="dxa"/>
            <w:vMerge/>
            <w:tcBorders>
              <w:left w:val="single" w:sz="8" w:space="0" w:color="000000"/>
              <w:right w:val="single" w:sz="8" w:space="0" w:color="000000"/>
            </w:tcBorders>
            <w:vAlign w:val="center"/>
          </w:tcPr>
          <w:p w:rsidR="0038378B" w14:paraId="7153D337"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37DACD35"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浮动管理费总额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FFF3734" w14:textId="77777777">
            <w:pPr>
              <w:widowControl/>
              <w:spacing w:after="0" w:line="240" w:lineRule="auto"/>
              <w:jc w:val="center"/>
              <w:textAlignment w:val="top"/>
              <w:rPr>
                <w:rFonts w:asciiTheme="minorEastAsia" w:hAnsiTheme="minorEastAsia" w:cstheme="minorEastAsia" w:hint="eastAsia"/>
                <w:color w:val="000000"/>
                <w:sz w:val="24"/>
              </w:rPr>
            </w:pPr>
            <w:r>
              <w:rPr>
                <w:rFonts w:eastAsia="宋体" w:asciiTheme="minorEastAsia" w:hAnsiTheme="minorEastAsia" w:cstheme="minorEastAsia" w:hint="eastAsia"/>
                <w:sz w:val="24"/>
                <w:szCs w:val="22"/>
              </w:rPr>
              <w:t>118,126.93</w:t>
            </w:r>
            <w:r>
              <w:rPr>
                <w:sz w:val="24"/>
              </w:rPr>
              <w:t>元</w:t>
            </w:r>
          </w:p>
        </w:tc>
      </w:tr>
      <w:tr w14:paraId="6E4AAB50" w14:textId="77777777">
        <w:tblPrEx>
          <w:tblW w:w="8597" w:type="dxa"/>
          <w:tblLayout w:type="fixed"/>
          <w:tblLook w:val="04A0"/>
        </w:tblPrEx>
        <w:trPr>
          <w:trHeight w:val="303"/>
        </w:trPr>
        <w:tc>
          <w:tcPr>
            <w:tcW w:w="1926" w:type="dxa"/>
            <w:vMerge/>
            <w:tcBorders>
              <w:left w:val="single" w:sz="8" w:space="0" w:color="000000"/>
              <w:right w:val="single" w:sz="8" w:space="0" w:color="000000"/>
            </w:tcBorders>
            <w:vAlign w:val="center"/>
          </w:tcPr>
          <w:p w:rsidR="0038378B" w14:paraId="591F9686"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2BDE6D32"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托管费总额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0F0FDAD4" w14:textId="77777777">
            <w:pPr>
              <w:widowControl/>
              <w:spacing w:after="0" w:line="240" w:lineRule="auto"/>
              <w:jc w:val="center"/>
              <w:textAlignment w:val="top"/>
              <w:rPr>
                <w:rFonts w:asciiTheme="minorEastAsia" w:hAnsiTheme="minorEastAsia" w:cstheme="minorEastAsia" w:hint="eastAsia"/>
                <w:color w:val="000000"/>
                <w:sz w:val="24"/>
              </w:rPr>
            </w:pPr>
            <w:r>
              <w:rPr>
                <w:rFonts w:eastAsia="宋体" w:asciiTheme="minorEastAsia" w:hAnsiTheme="minorEastAsia" w:cstheme="minorEastAsia" w:hint="eastAsia"/>
                <w:sz w:val="24"/>
                <w:szCs w:val="22"/>
              </w:rPr>
              <w:t>306,944.03</w:t>
            </w:r>
            <w:r>
              <w:rPr>
                <w:sz w:val="24"/>
              </w:rPr>
              <w:t>元</w:t>
            </w:r>
          </w:p>
        </w:tc>
      </w:tr>
      <w:tr w14:paraId="4BD1DC84" w14:textId="77777777">
        <w:tblPrEx>
          <w:tblW w:w="8597" w:type="dxa"/>
          <w:tblLayout w:type="fixed"/>
          <w:tblLook w:val="04A0"/>
        </w:tblPrEx>
        <w:trPr>
          <w:trHeight w:val="303"/>
        </w:trPr>
        <w:tc>
          <w:tcPr>
            <w:tcW w:w="1926" w:type="dxa"/>
            <w:vMerge/>
            <w:tcBorders>
              <w:left w:val="single" w:sz="8" w:space="0" w:color="000000"/>
              <w:right w:val="single" w:sz="8" w:space="0" w:color="000000"/>
            </w:tcBorders>
            <w:vAlign w:val="center"/>
          </w:tcPr>
          <w:p w:rsidR="0038378B" w14:paraId="419B1406"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755BFCAC"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销售服务费总额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64F95229"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szCs w:val="22"/>
              </w:rPr>
              <w:t>2,470,025.56</w:t>
            </w:r>
            <w:r>
              <w:rPr>
                <w:sz w:val="24"/>
              </w:rPr>
              <w:t>元</w:t>
            </w:r>
          </w:p>
        </w:tc>
      </w:tr>
      <w:tr w14:paraId="59BAED99" w14:textId="77777777">
        <w:tblPrEx>
          <w:tblW w:w="8597" w:type="dxa"/>
          <w:tblLayout w:type="fixed"/>
          <w:tblLook w:val="04A0"/>
        </w:tblPrEx>
        <w:trPr>
          <w:trHeight w:val="303"/>
        </w:trPr>
        <w:tc>
          <w:tcPr>
            <w:tcW w:w="1926" w:type="dxa"/>
            <w:vMerge/>
            <w:tcBorders>
              <w:left w:val="single" w:sz="8" w:space="0" w:color="000000"/>
              <w:bottom w:val="single" w:sz="4" w:space="0" w:color="auto"/>
              <w:right w:val="single" w:sz="8" w:space="0" w:color="000000"/>
            </w:tcBorders>
            <w:vAlign w:val="center"/>
          </w:tcPr>
          <w:p w:rsidR="0038378B" w14:paraId="4D0583D4"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4" w:space="0" w:color="auto"/>
              <w:right w:val="nil"/>
            </w:tcBorders>
            <w:vAlign w:val="center"/>
          </w:tcPr>
          <w:p w:rsidR="0038378B" w14:paraId="679F279E"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信息技术服务费</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FBFBCCD"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szCs w:val="22"/>
              </w:rPr>
              <w:t>0.00</w:t>
            </w:r>
            <w:r>
              <w:rPr>
                <w:sz w:val="24"/>
              </w:rPr>
              <w:t>元</w:t>
            </w:r>
          </w:p>
        </w:tc>
      </w:tr>
      <w:tr w14:paraId="2FFDBDA7" w14:textId="77777777">
        <w:tblPrEx>
          <w:tblW w:w="8597" w:type="dxa"/>
          <w:tblLayout w:type="fixed"/>
          <w:tblLook w:val="04A0"/>
        </w:tblPrEx>
        <w:trPr>
          <w:trHeight w:val="879"/>
        </w:trPr>
        <w:tc>
          <w:tcPr>
            <w:tcW w:w="1926" w:type="dxa"/>
            <w:tcBorders>
              <w:top w:val="single" w:sz="8" w:space="0" w:color="000000"/>
              <w:left w:val="single" w:sz="8" w:space="0" w:color="000000"/>
              <w:bottom w:val="single" w:sz="8" w:space="0" w:color="000000"/>
              <w:right w:val="single" w:sz="8" w:space="0" w:color="000000"/>
            </w:tcBorders>
            <w:vAlign w:val="center"/>
          </w:tcPr>
          <w:p w:rsidR="0038378B" w14:paraId="0D7A8B63"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份额代码</w:t>
            </w:r>
          </w:p>
        </w:tc>
        <w:tc>
          <w:tcPr>
            <w:tcW w:w="1950" w:type="dxa"/>
            <w:tcBorders>
              <w:top w:val="single" w:sz="8" w:space="0" w:color="000000"/>
              <w:left w:val="single" w:sz="8" w:space="0" w:color="000000"/>
              <w:bottom w:val="single" w:sz="8" w:space="0" w:color="000000"/>
              <w:right w:val="single" w:sz="8" w:space="0" w:color="000000"/>
            </w:tcBorders>
            <w:vAlign w:val="center"/>
          </w:tcPr>
          <w:p w:rsidR="0038378B" w14:paraId="3141FC9A"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到期日份额净值</w:t>
            </w:r>
          </w:p>
          <w:p w:rsidR="0038378B" w14:paraId="4B847D28"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（适用于非现金管理类理财产品）</w:t>
            </w:r>
          </w:p>
        </w:tc>
        <w:tc>
          <w:tcPr>
            <w:tcW w:w="1785" w:type="dxa"/>
            <w:tcBorders>
              <w:top w:val="single" w:sz="8" w:space="0" w:color="000000"/>
              <w:left w:val="single" w:sz="8" w:space="0" w:color="000000"/>
              <w:bottom w:val="single" w:sz="8" w:space="0" w:color="000000"/>
              <w:right w:val="single" w:sz="8" w:space="0" w:color="000000"/>
            </w:tcBorders>
            <w:vAlign w:val="center"/>
          </w:tcPr>
          <w:p w:rsidR="0038378B" w14:paraId="34C23FD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到期日份额累计净值（适用于非现金管理类理财产品）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1B192DC6"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到期日总份额</w:t>
            </w:r>
            <w:r>
              <w:rPr>
                <w:rFonts w:asciiTheme="minorEastAsia" w:hAnsiTheme="minorEastAsia" w:cstheme="minorEastAsia" w:hint="eastAsia"/>
                <w:color w:val="000000"/>
                <w:kern w:val="0"/>
                <w:sz w:val="24"/>
                <w:lang w:bidi="ar"/>
              </w:rPr>
              <w:br/>
            </w:r>
            <w:r>
              <w:rPr>
                <w:rFonts w:asciiTheme="minorEastAsia" w:hAnsiTheme="minorEastAsia" w:cstheme="minorEastAsia" w:hint="eastAsia"/>
                <w:color w:val="000000"/>
                <w:kern w:val="0"/>
                <w:sz w:val="24"/>
                <w:lang w:bidi="ar"/>
              </w:rPr>
              <w:t>（适用于现金管理类理财产品）</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paraId="34617667"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FYG25146A</w:t>
            </w:r>
          </w:p>
        </w:tc>
        <w:tc>
          <w:tcPr>
            <w:tcW w:w="1950" w:type="dxa"/>
            <w:tcBorders>
              <w:top w:val="nil"/>
              <w:left w:val="single" w:sz="8" w:space="0" w:color="000000"/>
              <w:bottom w:val="single" w:sz="8" w:space="0" w:color="000000"/>
              <w:right w:val="single" w:sz="8" w:space="0" w:color="000000"/>
            </w:tcBorders>
            <w:vAlign w:val="center"/>
          </w:tcPr>
          <w:p w:rsidR="0038378B" w14:paraId="1A0812E1"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1.0256</w:t>
            </w:r>
          </w:p>
        </w:tc>
        <w:tc>
          <w:tcPr>
            <w:tcW w:w="1785" w:type="dxa"/>
            <w:tcBorders>
              <w:top w:val="nil"/>
              <w:left w:val="single" w:sz="8" w:space="0" w:color="000000"/>
              <w:bottom w:val="single" w:sz="8" w:space="0" w:color="000000"/>
              <w:right w:val="nil"/>
            </w:tcBorders>
            <w:vAlign w:val="center"/>
          </w:tcPr>
          <w:p w:rsidR="0038378B" w14:paraId="42C903D3"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1.0256</w:t>
            </w:r>
          </w:p>
        </w:tc>
        <w:tc>
          <w:tcPr>
            <w:tcW w:w="2936" w:type="dxa"/>
            <w:tcBorders>
              <w:top w:val="nil"/>
              <w:left w:val="single" w:sz="8" w:space="0" w:color="000000"/>
              <w:bottom w:val="single" w:sz="8" w:space="0" w:color="000000"/>
              <w:right w:val="single" w:sz="8" w:space="0" w:color="000000"/>
            </w:tcBorders>
            <w:vAlign w:val="center"/>
          </w:tcPr>
          <w:p w:rsidR="0038378B" w14:paraId="34A4976F"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FYG25146B</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1.0266</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1.0266</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FYG25146C</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1.0277</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1.0277</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FYG25146D</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1.0271</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1.0271</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FYG25146F</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1.0271</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1.0271</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FYG25146G</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1.0282</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1.0282</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FYG25146H</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1.0266</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1.0266</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FYG25146I</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1.0255</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1.0255</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FYG25146J</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1.0282</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1.0282</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FYG25146K</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1.0256</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1.0256</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FYG25146L</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1.0277</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1.0277</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FYG25146N</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1.0266</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1.0266</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FYG25146P</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1.0271</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1.0271</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FYG25146Q</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1.0277</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1.0277</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FYG25146R</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1.0271</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1.0271</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FYG25146U</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1.0266</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1.0266</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FYG25146V</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1.0277</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1.0277</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FYG25146W</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1.0256</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1.0256</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FYG25146X</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1.0282</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1.0282</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FYG25146Y</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1.0266</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1.0266</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FYG25146Z</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1.0277</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1.0277</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bl>
    <w:p w:rsidR="0038378B" w14:paraId="57231536" w14:textId="77777777">
      <w:pPr>
        <w:pStyle w:val="a"/>
        <w:numPr>
          <w:ilvl w:val="0"/>
          <w:numId w:val="0"/>
        </w:numPr>
        <w:tabs>
          <w:tab w:val="left" w:pos="-2694"/>
        </w:tabs>
        <w:spacing w:after="0" w:line="120" w:lineRule="auto"/>
        <w:jc w:val="left"/>
        <w:rPr>
          <w:rFonts w:asciiTheme="minorEastAsia" w:hAnsiTheme="minorEastAsia" w:cstheme="minorEastAsia" w:hint="eastAsia"/>
          <w:sz w:val="24"/>
        </w:rPr>
      </w:pPr>
      <w:r>
        <w:rPr>
          <w:rFonts w:asciiTheme="minorEastAsia" w:hAnsiTheme="minorEastAsia" w:cstheme="minorEastAsia" w:hint="eastAsia"/>
          <w:sz w:val="24"/>
        </w:rPr>
        <w:t>注：</w:t>
      </w:r>
    </w:p>
    <w:p w:rsidR="0038378B" w14:paraId="77F1AE8D"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1.</w:t>
      </w:r>
      <w:r>
        <w:rPr>
          <w:rFonts w:asciiTheme="minorEastAsia" w:hAnsiTheme="minorEastAsia" w:cstheme="minorEastAsia" w:hint="eastAsia"/>
          <w:sz w:val="24"/>
        </w:rPr>
        <w:t>本到期公告披露的相关净值数据已由理财产品托管人复核。</w:t>
      </w:r>
    </w:p>
    <w:p w:rsidR="0038378B" w14:paraId="0DC253AF"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2.</w:t>
      </w:r>
      <w:r>
        <w:rPr>
          <w:rFonts w:asciiTheme="minorEastAsia" w:hAnsiTheme="minorEastAsia" w:cstheme="minorEastAsia" w:hint="eastAsia"/>
          <w:sz w:val="24"/>
        </w:rPr>
        <w:t>根据产品说明书，因理财产品发行对象不同，或有不同的份额及份额代码，不同份额之间可能存在销售服务费收费条件、收费标准和收费方式等的不同，以及因计算过程产生尾差等原因，均可能导致各份额单位净值、单位累计净值不完全一致。</w:t>
      </w:r>
    </w:p>
    <w:p w:rsidR="0038378B" w14:paraId="731108CF"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3.</w:t>
      </w:r>
      <w:r>
        <w:rPr>
          <w:rFonts w:asciiTheme="minorEastAsia" w:hAnsiTheme="minorEastAsia" w:cstheme="minorEastAsia" w:hint="eastAsia"/>
          <w:sz w:val="24"/>
        </w:rPr>
        <w:t>理财计划财产在管理、运用、处分过程中产生的税费（包括但不限于增值税及相应的附加税费等），由理财计划财产承担；产品管理人对该等税费无垫付义务。前述税费（包括但不限于增值税及相应附加税费）的计算、提取及缴纳，由产品管理人按照应税行为发生时有效的相关法律法规的规定执行。支付给客户的理财收益的应纳税款由客户自行申报及缴纳。</w:t>
      </w:r>
    </w:p>
    <w:p w:rsidR="0038378B" w14:paraId="6F8BDBCA"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4.</w:t>
      </w:r>
      <w:r>
        <w:rPr>
          <w:rFonts w:asciiTheme="minorEastAsia" w:hAnsiTheme="minorEastAsia" w:cstheme="minorEastAsia" w:hint="eastAsia"/>
          <w:sz w:val="24"/>
        </w:rPr>
        <w:t>本理财产品终止日起，清算过程中各项清结算金额与实际结算金额的尾差由管理人承担。</w:t>
      </w:r>
    </w:p>
    <w:p w:rsidR="0038378B" w14:paraId="637BD87B"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5.</w:t>
      </w:r>
      <w:r>
        <w:rPr>
          <w:rFonts w:asciiTheme="minorEastAsia" w:hAnsiTheme="minorEastAsia" w:cstheme="minorEastAsia" w:hint="eastAsia"/>
          <w:sz w:val="24"/>
        </w:rPr>
        <w:t>托管费：原则上按日计提，逐日累计至到期日从理财计划财产中扣除。</w:t>
      </w:r>
    </w:p>
    <w:p w:rsidR="0038378B" w14:paraId="212CC984"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6.</w:t>
      </w:r>
      <w:r>
        <w:rPr>
          <w:rFonts w:asciiTheme="minorEastAsia" w:hAnsiTheme="minorEastAsia" w:cstheme="minorEastAsia" w:hint="eastAsia"/>
          <w:sz w:val="24"/>
        </w:rPr>
        <w:t>固定管理费：原则上按日计提，逐日累计至到期日从理财计划财产中扣除。</w:t>
      </w:r>
    </w:p>
    <w:p w:rsidR="0038378B" w14:paraId="4E3B96D5"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7.</w:t>
      </w:r>
      <w:r>
        <w:rPr>
          <w:rFonts w:asciiTheme="minorEastAsia" w:hAnsiTheme="minorEastAsia" w:cstheme="minorEastAsia" w:hint="eastAsia"/>
          <w:sz w:val="24"/>
        </w:rPr>
        <w:t>信息技术服务费：原则上按日计提，每季度从理财计划财产中扣除。</w:t>
      </w:r>
    </w:p>
    <w:p w:rsidR="0038378B" w14:paraId="5F1646F6"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8.</w:t>
      </w:r>
      <w:r>
        <w:rPr>
          <w:rFonts w:asciiTheme="minorEastAsia" w:hAnsiTheme="minorEastAsia" w:cstheme="minorEastAsia" w:hint="eastAsia"/>
          <w:sz w:val="24"/>
        </w:rPr>
        <w:t>各期理财产品详细信息可根据产品登记编码登录中国理财网进行查询。</w:t>
      </w:r>
    </w:p>
    <w:p w:rsidR="0038378B" w14:paraId="74AD468C"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p>
    <w:p w:rsidR="0038378B" w14:paraId="36785A60"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8"/>
        </w:rPr>
      </w:pPr>
    </w:p>
    <w:p w:rsidR="0038378B" w14:paraId="422FF5E8" w14:textId="77777777">
      <w:pPr>
        <w:spacing w:after="0" w:line="240" w:lineRule="auto"/>
        <w:ind w:firstLine="560" w:firstLineChars="200"/>
        <w:rPr>
          <w:rFonts w:asciiTheme="minorEastAsia" w:hAnsiTheme="minorEastAsia" w:cstheme="minorEastAsia" w:hint="eastAsia"/>
          <w:sz w:val="28"/>
        </w:rPr>
      </w:pPr>
      <w:r>
        <w:rPr>
          <w:rFonts w:asciiTheme="minorEastAsia" w:hAnsiTheme="minorEastAsia" w:cstheme="minorEastAsia" w:hint="eastAsia"/>
          <w:sz w:val="28"/>
        </w:rPr>
        <w:t>特此公告。</w:t>
      </w:r>
    </w:p>
    <w:p w:rsidR="0038378B" w14:paraId="44F9A7BD" w14:textId="77777777">
      <w:pPr>
        <w:spacing w:after="0" w:line="240" w:lineRule="auto"/>
        <w:rPr>
          <w:rFonts w:asciiTheme="minorEastAsia" w:hAnsiTheme="minorEastAsia" w:cstheme="minorEastAsia" w:hint="eastAsia"/>
          <w:sz w:val="24"/>
        </w:rPr>
      </w:pPr>
    </w:p>
    <w:p w:rsidR="0038378B" w14:paraId="38A4CB10" w14:textId="77777777">
      <w:pPr>
        <w:spacing w:after="0" w:line="240" w:lineRule="auto"/>
        <w:ind w:left="360"/>
        <w:jc w:val="right"/>
        <w:rPr>
          <w:rFonts w:ascii="仿宋_GB2312" w:eastAsia="仿宋_GB2312" w:hAnsi="仿宋_GB2312" w:cs="仿宋_GB2312" w:hint="eastAsia"/>
          <w:sz w:val="24"/>
        </w:rPr>
      </w:pPr>
    </w:p>
    <w:p w:rsidR="0038378B" w14:paraId="250EF0A4" w14:textId="77777777">
      <w:pPr>
        <w:spacing w:after="0" w:line="240" w:lineRule="auto"/>
        <w:ind w:left="360"/>
        <w:jc w:val="right"/>
        <w:rPr>
          <w:rFonts w:ascii="仿宋_GB2312" w:eastAsia="仿宋_GB2312" w:hAnsi="仿宋_GB2312" w:cs="仿宋_GB2312" w:hint="eastAsia"/>
          <w:sz w:val="28"/>
          <w:szCs w:val="28"/>
        </w:rPr>
      </w:pPr>
    </w:p>
    <w:p w:rsidR="0038378B" w14:paraId="49329686" w14:textId="77777777">
      <w:pPr>
        <w:spacing w:after="0" w:line="240" w:lineRule="auto"/>
        <w:ind w:left="360"/>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杭银理财有限责任公司</w:t>
      </w:r>
    </w:p>
    <w:p w:rsidR="0038378B" w14:paraId="34C56F71" w14:textId="77777777">
      <w:pPr>
        <w:spacing w:after="0" w:line="240" w:lineRule="auto"/>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2026年8月27日</w:t>
      </w:r>
    </w:p>
    <w:sectPr>
      <w:headerReference w:type="default" r:id="rId5"/>
      <w:pgSz w:w="11906" w:h="16838"/>
      <w:pgMar w:top="2551" w:right="1803" w:bottom="2551" w:left="1803" w:header="851" w:footer="992" w:gutter="0"/>
      <w:cols w:space="0"/>
      <w:docGrid w:type="lines" w:linePitch="3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仿宋_GB2312">
    <w:altName w:val="仿宋"/>
    <w:charset w:val="86"/>
    <w:family w:val="auto"/>
    <w:pitch w:val="default"/>
    <w:sig w:usb0="00000000" w:usb1="00000000" w:usb2="0000000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378B" w14:paraId="50EA77DA" w14:textId="77777777">
    <w:pPr>
      <w:pStyle w:val="Header"/>
    </w:pPr>
    <w:r>
      <w:rPr>
        <w:noProof/>
      </w:rP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7543800" cy="10671810"/>
          <wp:effectExtent l="0" t="0" r="0" b="15240"/>
          <wp:wrapNone/>
          <wp:docPr id="5" name="WordPictureWatermark140627" descr="微信图片_20220817144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40627" descr="微信图片_20220817144322"/>
                  <pic:cNvPicPr>
                    <a:picLocks noChangeAspect="1"/>
                  </pic:cNvPicPr>
                </pic:nvPicPr>
                <pic:blipFill>
                  <a:blip xmlns:r="http://schemas.openxmlformats.org/officeDocument/2006/relationships" r:embed="rId1"/>
                  <a:stretch>
                    <a:fillRect/>
                  </a:stretch>
                </pic:blipFill>
                <pic:spPr>
                  <a:xfrm>
                    <a:off x="0" y="0"/>
                    <a:ext cx="7543800" cy="1067181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DCADC43"/>
    <w:multiLevelType w:val="multilevel"/>
    <w:tmpl w:val="7DCADC43"/>
    <w:lvl w:ilvl="0">
      <w:start w:val="1"/>
      <w:numFmt w:val="chineseCounting"/>
      <w:pStyle w:val="a"/>
      <w:suff w:val="space"/>
      <w:lvlText w:val="第%1条"/>
      <w:lvlJc w:val="left"/>
      <w:pPr>
        <w:tabs>
          <w:tab w:val="left" w:pos="420"/>
        </w:tabs>
        <w:ind w:left="3114" w:hanging="420"/>
      </w:pPr>
      <w:rPr>
        <w:rFonts w:ascii="仿宋_GB2312" w:eastAsia="仿宋_GB2312" w:hAnsi="仿宋_GB2312" w:hint="eastAsia"/>
        <w:b/>
        <w:sz w:val="32"/>
        <w:szCs w:val="32"/>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16cid:durableId="1214077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98"/>
  <w:embedSystemFonts/>
  <w:bordersDoNotSurroundHeader/>
  <w:bordersDoNotSurroundFooter/>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6687052B"/>
    <w:rsid w:val="001E34DE"/>
    <w:rsid w:val="00200A72"/>
    <w:rsid w:val="002469CB"/>
    <w:rsid w:val="002965C4"/>
    <w:rsid w:val="002B4BBF"/>
    <w:rsid w:val="0038378B"/>
    <w:rsid w:val="003841A4"/>
    <w:rsid w:val="00412E97"/>
    <w:rsid w:val="005200AA"/>
    <w:rsid w:val="0053159C"/>
    <w:rsid w:val="00573563"/>
    <w:rsid w:val="00592C06"/>
    <w:rsid w:val="005E397D"/>
    <w:rsid w:val="00603D57"/>
    <w:rsid w:val="00632F14"/>
    <w:rsid w:val="006D7051"/>
    <w:rsid w:val="0073172D"/>
    <w:rsid w:val="00735747"/>
    <w:rsid w:val="00740C81"/>
    <w:rsid w:val="00750505"/>
    <w:rsid w:val="007809D7"/>
    <w:rsid w:val="007A3E72"/>
    <w:rsid w:val="007B0559"/>
    <w:rsid w:val="00860348"/>
    <w:rsid w:val="00863721"/>
    <w:rsid w:val="008C68DB"/>
    <w:rsid w:val="008D2DFF"/>
    <w:rsid w:val="008F2835"/>
    <w:rsid w:val="009D66D1"/>
    <w:rsid w:val="00A00B94"/>
    <w:rsid w:val="00AC2AB6"/>
    <w:rsid w:val="00AC3F90"/>
    <w:rsid w:val="00B11AE6"/>
    <w:rsid w:val="00B21744"/>
    <w:rsid w:val="00BB5D37"/>
    <w:rsid w:val="00C10907"/>
    <w:rsid w:val="00C47DF8"/>
    <w:rsid w:val="00C87BF7"/>
    <w:rsid w:val="00D00D6A"/>
    <w:rsid w:val="00D259A1"/>
    <w:rsid w:val="00E846FF"/>
    <w:rsid w:val="00F81666"/>
    <w:rsid w:val="00F965A1"/>
    <w:rsid w:val="00FA50AB"/>
    <w:rsid w:val="031040D2"/>
    <w:rsid w:val="046A679B"/>
    <w:rsid w:val="050F5184"/>
    <w:rsid w:val="0AB0656E"/>
    <w:rsid w:val="0C745E65"/>
    <w:rsid w:val="0CB459D4"/>
    <w:rsid w:val="0E6326C2"/>
    <w:rsid w:val="10D07EDC"/>
    <w:rsid w:val="12297112"/>
    <w:rsid w:val="151D7E14"/>
    <w:rsid w:val="178607BF"/>
    <w:rsid w:val="18462C74"/>
    <w:rsid w:val="190B63BC"/>
    <w:rsid w:val="1F0A0FE5"/>
    <w:rsid w:val="1F48553E"/>
    <w:rsid w:val="20C27D8C"/>
    <w:rsid w:val="21F964F5"/>
    <w:rsid w:val="22984131"/>
    <w:rsid w:val="28362D7D"/>
    <w:rsid w:val="2AB67C98"/>
    <w:rsid w:val="2D8542FF"/>
    <w:rsid w:val="3286081F"/>
    <w:rsid w:val="3529150B"/>
    <w:rsid w:val="35AE4436"/>
    <w:rsid w:val="39196DF2"/>
    <w:rsid w:val="3A5B7ED6"/>
    <w:rsid w:val="3BF50A6E"/>
    <w:rsid w:val="3C231661"/>
    <w:rsid w:val="3D001825"/>
    <w:rsid w:val="3E174A3C"/>
    <w:rsid w:val="3EAB6BEB"/>
    <w:rsid w:val="3ED86525"/>
    <w:rsid w:val="3F1275A9"/>
    <w:rsid w:val="3F221A4C"/>
    <w:rsid w:val="3FC04F0B"/>
    <w:rsid w:val="4045484E"/>
    <w:rsid w:val="42594A46"/>
    <w:rsid w:val="447B660D"/>
    <w:rsid w:val="462266D9"/>
    <w:rsid w:val="489D3BEC"/>
    <w:rsid w:val="4C037761"/>
    <w:rsid w:val="4C4A04BD"/>
    <w:rsid w:val="50B7489E"/>
    <w:rsid w:val="50DC0E7A"/>
    <w:rsid w:val="548E4345"/>
    <w:rsid w:val="54F6702C"/>
    <w:rsid w:val="5895744F"/>
    <w:rsid w:val="595715BE"/>
    <w:rsid w:val="5A7F5A78"/>
    <w:rsid w:val="5AB40990"/>
    <w:rsid w:val="5CE40C9B"/>
    <w:rsid w:val="5E8A1A31"/>
    <w:rsid w:val="5FBC45EF"/>
    <w:rsid w:val="600F7924"/>
    <w:rsid w:val="612B75BF"/>
    <w:rsid w:val="642664E4"/>
    <w:rsid w:val="650B0861"/>
    <w:rsid w:val="661D745C"/>
    <w:rsid w:val="6687052B"/>
    <w:rsid w:val="670F12E2"/>
    <w:rsid w:val="683B78CE"/>
    <w:rsid w:val="6B6670CE"/>
    <w:rsid w:val="6C7E45F0"/>
    <w:rsid w:val="6D5B6E8B"/>
    <w:rsid w:val="6D623B7E"/>
    <w:rsid w:val="6E683E61"/>
    <w:rsid w:val="71A11F5E"/>
    <w:rsid w:val="71B3167E"/>
    <w:rsid w:val="752B7242"/>
    <w:rsid w:val="78026722"/>
    <w:rsid w:val="79337090"/>
    <w:rsid w:val="7AD376CD"/>
    <w:rsid w:val="7D2C199A"/>
    <w:rsid w:val="7EA037DA"/>
    <w:rsid w:val="7EF7C949"/>
    <w:rsid w:val="7F2940C4"/>
  </w:rsids>
  <w:docVars>
    <w:docVar w:name="commondata" w:val="eyJoZGlkIjoiMDZlY2ZiYmExOWJmOTY5NWFmNzQwOWFhNmE0ZjgxMT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F159173"/>
  <w15:docId w15:val="{7FAB8D48-C0F9-47E8-9228-A92E3328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paragraph" w:styleId="Heading1">
    <w:name w:val="heading 1"/>
    <w:basedOn w:val="Normal"/>
    <w:next w:val="Normal"/>
    <w:qFormat/>
    <w:pPr>
      <w:keepNext/>
      <w:keepLines/>
      <w:spacing w:line="400" w:lineRule="exact"/>
      <w:jc w:val="center"/>
      <w:outlineLvl w:val="0"/>
    </w:pPr>
    <w:rPr>
      <w:rFonts w:ascii="Times New Roman" w:eastAsia="宋体" w:hAnsi="Times New Roman"/>
      <w:b/>
      <w:kern w:val="44"/>
      <w:sz w:val="24"/>
    </w:rPr>
  </w:style>
  <w:style w:type="paragraph" w:styleId="Heading2">
    <w:name w:val="heading 2"/>
    <w:basedOn w:val="Normal"/>
    <w:next w:val="Normal"/>
    <w:unhideWhenUsed/>
    <w:qFormat/>
    <w:pPr>
      <w:keepNext/>
      <w:keepLines/>
      <w:spacing w:line="400" w:lineRule="exact"/>
      <w:jc w:val="left"/>
      <w:outlineLvl w:val="1"/>
    </w:pPr>
    <w:rPr>
      <w:rFonts w:ascii="Arial" w:eastAsia="宋体" w:hAnsi="Arial"/>
      <w:b/>
    </w:rPr>
  </w:style>
  <w:style w:type="paragraph" w:styleId="Heading3">
    <w:name w:val="heading 3"/>
    <w:basedOn w:val="Normal"/>
    <w:next w:val="Normal"/>
    <w:unhideWhenUsed/>
    <w:qFormat/>
    <w:pPr>
      <w:keepNext/>
      <w:keepLines/>
      <w:spacing w:line="400" w:lineRule="exact"/>
      <w:jc w:val="left"/>
      <w:outlineLvl w:val="2"/>
    </w:pPr>
    <w:rPr>
      <w:rFonts w:ascii="Times New Roman" w:eastAsia="宋体"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TableGrid">
    <w:name w:val="Table Grid"/>
    <w:basedOn w:val="TableNormal"/>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条段落"/>
    <w:basedOn w:val="Normal"/>
    <w:qFormat/>
    <w:pPr>
      <w:numPr>
        <w:numId w:val="1"/>
      </w:numPr>
      <w:ind w:left="0" w:firstLine="640"/>
    </w:pPr>
    <w:rPr>
      <w:rFonts w:ascii="宋体" w:hAnsi="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754</Characters>
  <Application>Microsoft Office Word</Application>
  <DocSecurity>0</DocSecurity>
  <Lines>68</Lines>
  <Paragraphs>62</Paragraphs>
  <ScaleCrop>false</ScaleCrop>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657598052@qq.com</cp:lastModifiedBy>
  <cp:revision>2</cp:revision>
  <dcterms:created xsi:type="dcterms:W3CDTF">2026-08-26T04:30:00Z</dcterms:created>
  <dcterms:modified xsi:type="dcterms:W3CDTF">2026-08-26T04:30:00Z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156FBEF45315492997A928A82EDAEB25</vt:lpwstr>
  </property>
  <property fmtid="{D5CDD505-2E9C-101B-9397-08002B2CF9AE}" pid="3" name="KSOProductBuildVer">
    <vt:lpwstr>2052-11.8.2.8411</vt:lpwstr>
  </property>
</Properties>
</file>